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AE9D" w14:textId="77777777" w:rsidR="00F26809" w:rsidRPr="00F26809" w:rsidRDefault="00F26809" w:rsidP="00B81A2B">
      <w:pPr>
        <w:pStyle w:val="Ttulo3"/>
        <w:jc w:val="center"/>
        <w:rPr>
          <w:b/>
          <w:bCs/>
        </w:rPr>
      </w:pPr>
      <w:r w:rsidRPr="00F26809">
        <w:rPr>
          <w:b/>
          <w:bCs/>
        </w:rPr>
        <w:t>MEMORÁNDUM JURÍDICO</w:t>
      </w:r>
    </w:p>
    <w:p w14:paraId="7AB247A4" w14:textId="049947AF" w:rsidR="00F26809" w:rsidRDefault="00F26809" w:rsidP="00443FF1">
      <w:pPr>
        <w:jc w:val="both"/>
      </w:pPr>
    </w:p>
    <w:p w14:paraId="24734A54" w14:textId="77777777" w:rsidR="00F26809" w:rsidRDefault="00F26809" w:rsidP="00443FF1">
      <w:pPr>
        <w:pStyle w:val="Ttulo2"/>
        <w:jc w:val="both"/>
      </w:pPr>
      <w:r>
        <w:t>1. Objeto</w:t>
      </w:r>
    </w:p>
    <w:p w14:paraId="75F733A2" w14:textId="77777777" w:rsidR="00F26809" w:rsidRPr="00061E55" w:rsidRDefault="00F26809" w:rsidP="00443FF1">
      <w:pPr>
        <w:pStyle w:val="NormalWeb"/>
        <w:jc w:val="both"/>
        <w:rPr>
          <w:rFonts w:asciiTheme="majorHAnsi" w:hAnsiTheme="majorHAnsi" w:cstheme="majorHAnsi"/>
        </w:rPr>
      </w:pPr>
      <w:r w:rsidRPr="00061E55">
        <w:rPr>
          <w:rFonts w:asciiTheme="majorHAnsi" w:hAnsiTheme="majorHAnsi" w:cstheme="majorHAnsi"/>
        </w:rPr>
        <w:t>El presente memorándum tiene por objeto fundamentar, desde una perspectiva de Derecho Internacional de los Derechos Humanos y de obligaciones convencionales asumidas por España, la solicitud de que se adopte una decisión institucional consistente en la declaración de un día de luto</w:t>
      </w:r>
      <w:r w:rsidRPr="00061E55">
        <w:rPr>
          <w:rFonts w:asciiTheme="majorHAnsi" w:hAnsiTheme="majorHAnsi" w:cstheme="majorHAnsi"/>
          <w:b/>
          <w:bCs/>
        </w:rPr>
        <w:t xml:space="preserve"> </w:t>
      </w:r>
      <w:r w:rsidRPr="00061E55">
        <w:rPr>
          <w:rFonts w:asciiTheme="majorHAnsi" w:hAnsiTheme="majorHAnsi" w:cstheme="majorHAnsi"/>
        </w:rPr>
        <w:t>oficial cada vez que se produzca un asesinato por violencia de género contra mujeres, así como en aquellos casos en que dicha violencia cause la muerte de niñas y niños (violencia vicaria o vinculada).</w:t>
      </w:r>
    </w:p>
    <w:p w14:paraId="54E0DF9C" w14:textId="6CC188B2" w:rsidR="00F26809" w:rsidRPr="00061E55" w:rsidRDefault="00061E55" w:rsidP="00061E55">
      <w:pPr>
        <w:pStyle w:val="NormalWeb"/>
        <w:jc w:val="both"/>
        <w:rPr>
          <w:rFonts w:asciiTheme="majorHAnsi" w:hAnsiTheme="majorHAnsi" w:cstheme="majorHAnsi"/>
        </w:rPr>
      </w:pPr>
      <w:r w:rsidRPr="00061E55">
        <w:rPr>
          <w:rFonts w:asciiTheme="majorHAnsi" w:hAnsiTheme="majorHAnsi" w:cstheme="majorHAnsi"/>
        </w:rPr>
        <w:t xml:space="preserve">La </w:t>
      </w:r>
      <w:r w:rsidR="00F26809" w:rsidRPr="00061E55">
        <w:rPr>
          <w:rFonts w:asciiTheme="majorHAnsi" w:hAnsiTheme="majorHAnsi" w:cstheme="majorHAnsi"/>
        </w:rPr>
        <w:t xml:space="preserve">medida es jurídicamente </w:t>
      </w:r>
      <w:r w:rsidR="004D249F">
        <w:rPr>
          <w:rFonts w:asciiTheme="majorHAnsi" w:hAnsiTheme="majorHAnsi" w:cstheme="majorHAnsi"/>
        </w:rPr>
        <w:t>imprescindible</w:t>
      </w:r>
      <w:r w:rsidR="00F26809" w:rsidRPr="00061E55">
        <w:rPr>
          <w:rFonts w:asciiTheme="majorHAnsi" w:hAnsiTheme="majorHAnsi" w:cstheme="majorHAnsi"/>
        </w:rPr>
        <w:t xml:space="preserve"> como</w:t>
      </w:r>
      <w:r w:rsidRPr="00061E55">
        <w:rPr>
          <w:rFonts w:asciiTheme="majorHAnsi" w:hAnsiTheme="majorHAnsi" w:cstheme="majorHAnsi"/>
        </w:rPr>
        <w:t xml:space="preserve"> un </w:t>
      </w:r>
      <w:r w:rsidR="00F26809" w:rsidRPr="00061E55">
        <w:rPr>
          <w:rFonts w:asciiTheme="majorHAnsi" w:hAnsiTheme="majorHAnsi" w:cstheme="majorHAnsi"/>
          <w:b/>
          <w:bCs/>
        </w:rPr>
        <w:t>reconocimiento</w:t>
      </w:r>
      <w:r w:rsidR="00F26809" w:rsidRPr="00061E55">
        <w:rPr>
          <w:rStyle w:val="Fuerte"/>
          <w:rFonts w:asciiTheme="majorHAnsi" w:hAnsiTheme="majorHAnsi" w:cstheme="majorHAnsi"/>
        </w:rPr>
        <w:t xml:space="preserve"> institucional de la gravedad del hecho</w:t>
      </w:r>
      <w:r w:rsidR="00F26809" w:rsidRPr="00061E55">
        <w:rPr>
          <w:rFonts w:asciiTheme="majorHAnsi" w:hAnsiTheme="majorHAnsi" w:cstheme="majorHAnsi"/>
        </w:rPr>
        <w:t>,</w:t>
      </w:r>
      <w:r w:rsidRPr="00061E55">
        <w:rPr>
          <w:rFonts w:asciiTheme="majorHAnsi" w:hAnsiTheme="majorHAnsi" w:cstheme="majorHAnsi"/>
        </w:rPr>
        <w:t xml:space="preserve"> un </w:t>
      </w:r>
      <w:r w:rsidR="00F26809" w:rsidRPr="00061E55">
        <w:rPr>
          <w:rStyle w:val="Fuerte"/>
          <w:rFonts w:asciiTheme="majorHAnsi" w:hAnsiTheme="majorHAnsi" w:cstheme="majorHAnsi"/>
        </w:rPr>
        <w:t>acto público de duelo colectivo</w:t>
      </w:r>
      <w:r w:rsidR="00F26809" w:rsidRPr="00061E55">
        <w:rPr>
          <w:rFonts w:asciiTheme="majorHAnsi" w:hAnsiTheme="majorHAnsi" w:cstheme="majorHAnsi"/>
        </w:rPr>
        <w:t>,</w:t>
      </w:r>
      <w:r w:rsidRPr="00061E55">
        <w:rPr>
          <w:rFonts w:asciiTheme="majorHAnsi" w:hAnsiTheme="majorHAnsi" w:cstheme="majorHAnsi"/>
        </w:rPr>
        <w:t xml:space="preserve"> una </w:t>
      </w:r>
      <w:r w:rsidR="00F26809" w:rsidRPr="00061E55">
        <w:rPr>
          <w:rStyle w:val="Fuerte"/>
          <w:rFonts w:asciiTheme="majorHAnsi" w:hAnsiTheme="majorHAnsi" w:cstheme="majorHAnsi"/>
        </w:rPr>
        <w:t>condena moral oficial</w:t>
      </w:r>
      <w:r w:rsidR="00F26809" w:rsidRPr="00061E55">
        <w:rPr>
          <w:rFonts w:asciiTheme="majorHAnsi" w:hAnsiTheme="majorHAnsi" w:cstheme="majorHAnsi"/>
        </w:rPr>
        <w:t>,</w:t>
      </w:r>
      <w:r w:rsidRPr="00061E55">
        <w:rPr>
          <w:rFonts w:asciiTheme="majorHAnsi" w:hAnsiTheme="majorHAnsi" w:cstheme="majorHAnsi"/>
        </w:rPr>
        <w:t xml:space="preserve"> </w:t>
      </w:r>
      <w:r w:rsidR="00F26809" w:rsidRPr="00061E55">
        <w:rPr>
          <w:rFonts w:asciiTheme="majorHAnsi" w:hAnsiTheme="majorHAnsi" w:cstheme="majorHAnsi"/>
        </w:rPr>
        <w:t xml:space="preserve">y </w:t>
      </w:r>
      <w:r w:rsidRPr="00061E55">
        <w:rPr>
          <w:rFonts w:asciiTheme="majorHAnsi" w:hAnsiTheme="majorHAnsi" w:cstheme="majorHAnsi"/>
        </w:rPr>
        <w:t xml:space="preserve">una </w:t>
      </w:r>
      <w:r w:rsidR="00F26809" w:rsidRPr="00061E55">
        <w:rPr>
          <w:rStyle w:val="Fuerte"/>
          <w:rFonts w:asciiTheme="majorHAnsi" w:hAnsiTheme="majorHAnsi" w:cstheme="majorHAnsi"/>
        </w:rPr>
        <w:t>medida de reparación simbólica</w:t>
      </w:r>
      <w:r w:rsidR="00F26809" w:rsidRPr="00061E55">
        <w:rPr>
          <w:rFonts w:asciiTheme="majorHAnsi" w:hAnsiTheme="majorHAnsi" w:cstheme="majorHAnsi"/>
        </w:rPr>
        <w:t xml:space="preserve"> y de </w:t>
      </w:r>
      <w:r w:rsidR="00F26809" w:rsidRPr="00061E55">
        <w:rPr>
          <w:rStyle w:val="Fuerte"/>
          <w:rFonts w:asciiTheme="majorHAnsi" w:hAnsiTheme="majorHAnsi" w:cstheme="majorHAnsi"/>
        </w:rPr>
        <w:t>garantía de no repetición</w:t>
      </w:r>
      <w:r w:rsidR="00F26809" w:rsidRPr="00061E55">
        <w:rPr>
          <w:rFonts w:asciiTheme="majorHAnsi" w:hAnsiTheme="majorHAnsi" w:cstheme="majorHAnsi"/>
        </w:rPr>
        <w:t>, integrada en las obligaciones de diligencia debida.</w:t>
      </w:r>
    </w:p>
    <w:p w14:paraId="172AE48F" w14:textId="77777777" w:rsidR="00061E55" w:rsidRDefault="00061E55" w:rsidP="00061E55">
      <w:pPr>
        <w:pStyle w:val="Ttulo2"/>
        <w:jc w:val="both"/>
        <w:rPr>
          <w:rFonts w:cstheme="majorHAnsi"/>
        </w:rPr>
      </w:pPr>
      <w:r>
        <w:rPr>
          <w:rFonts w:cstheme="majorHAnsi"/>
        </w:rPr>
        <w:t>2</w:t>
      </w:r>
      <w:r w:rsidRPr="00F26809">
        <w:rPr>
          <w:rFonts w:cstheme="majorHAnsi"/>
        </w:rPr>
        <w:t xml:space="preserve">. </w:t>
      </w:r>
      <w:r>
        <w:rPr>
          <w:rFonts w:cstheme="majorHAnsi"/>
        </w:rPr>
        <w:t>La violencia contra las mujeres como expresión extrema de la discriminación estructural.</w:t>
      </w:r>
    </w:p>
    <w:p w14:paraId="216592E2" w14:textId="77777777" w:rsidR="00061E55" w:rsidRDefault="00061E55" w:rsidP="00061E55">
      <w:pPr>
        <w:jc w:val="both"/>
        <w:rPr>
          <w:rFonts w:asciiTheme="majorHAnsi" w:eastAsia="Times New Roman" w:hAnsiTheme="majorHAnsi" w:cstheme="majorHAnsi"/>
          <w:kern w:val="0"/>
          <w:sz w:val="24"/>
          <w:szCs w:val="24"/>
          <w:lang w:eastAsia="es-ES_tradnl"/>
          <w14:ligatures w14:val="none"/>
        </w:rPr>
      </w:pPr>
    </w:p>
    <w:p w14:paraId="6F172290" w14:textId="2618D30E" w:rsidR="00061E55" w:rsidRPr="00061E55" w:rsidRDefault="00061E55" w:rsidP="00061E55">
      <w:pPr>
        <w:jc w:val="both"/>
        <w:rPr>
          <w:rFonts w:asciiTheme="majorHAnsi" w:eastAsia="Times New Roman" w:hAnsiTheme="majorHAnsi" w:cstheme="majorHAnsi"/>
          <w:kern w:val="0"/>
          <w:sz w:val="24"/>
          <w:szCs w:val="24"/>
          <w:lang w:eastAsia="es-ES_tradnl"/>
          <w14:ligatures w14:val="none"/>
        </w:rPr>
      </w:pPr>
      <w:r w:rsidRPr="00061E55">
        <w:rPr>
          <w:rFonts w:asciiTheme="majorHAnsi" w:eastAsia="Times New Roman" w:hAnsiTheme="majorHAnsi" w:cstheme="majorHAnsi"/>
          <w:kern w:val="0"/>
          <w:sz w:val="24"/>
          <w:szCs w:val="24"/>
          <w:lang w:eastAsia="es-ES_tradnl"/>
          <w14:ligatures w14:val="none"/>
        </w:rPr>
        <w:t>El asesinato de mujeres por razón de género no es un fenómeno aislado ni un conjunto de tragedias privadas. Constituye la manifestación más grave y extrema de la discriminación contra las mujeres, en la medida en que representa la culminación letal de un continuum de violencias basado en relaciones estructurales de poder, dominación y desigualdad.</w:t>
      </w:r>
    </w:p>
    <w:p w14:paraId="6595D32A" w14:textId="77777777" w:rsidR="00061E55" w:rsidRPr="00061E55" w:rsidRDefault="00061E55" w:rsidP="00061E55">
      <w:pPr>
        <w:jc w:val="both"/>
        <w:rPr>
          <w:rFonts w:asciiTheme="majorHAnsi" w:eastAsia="Times New Roman" w:hAnsiTheme="majorHAnsi" w:cstheme="majorHAnsi"/>
          <w:kern w:val="0"/>
          <w:sz w:val="24"/>
          <w:szCs w:val="24"/>
          <w:lang w:eastAsia="es-ES_tradnl"/>
          <w14:ligatures w14:val="none"/>
        </w:rPr>
      </w:pPr>
      <w:r w:rsidRPr="00061E55">
        <w:rPr>
          <w:rFonts w:asciiTheme="majorHAnsi" w:eastAsia="Times New Roman" w:hAnsiTheme="majorHAnsi" w:cstheme="majorHAnsi"/>
          <w:kern w:val="0"/>
          <w:sz w:val="24"/>
          <w:szCs w:val="24"/>
          <w:lang w:eastAsia="es-ES_tradnl"/>
          <w14:ligatures w14:val="none"/>
        </w:rPr>
        <w:t>La violencia por razón de género no puede entenderse únicamente como un conflicto interpersonal en el ámbito de la pareja o expareja. Se trata de una violencia que hunde sus raíces en una desigualdad estructural persistente entre mujeres y hombres, y que se manifiesta en múltiples formas: física, psicológica, sexual, económica, simbólica y, en su expresión más radical, homicida.</w:t>
      </w:r>
    </w:p>
    <w:p w14:paraId="3FD2DED4" w14:textId="77777777" w:rsidR="00061E55" w:rsidRPr="00061E55" w:rsidRDefault="00061E55" w:rsidP="00061E55">
      <w:pPr>
        <w:jc w:val="both"/>
        <w:rPr>
          <w:rFonts w:asciiTheme="majorHAnsi" w:eastAsia="Times New Roman" w:hAnsiTheme="majorHAnsi" w:cstheme="majorHAnsi"/>
          <w:kern w:val="0"/>
          <w:sz w:val="24"/>
          <w:szCs w:val="24"/>
          <w:lang w:eastAsia="es-ES_tradnl"/>
          <w14:ligatures w14:val="none"/>
        </w:rPr>
      </w:pPr>
      <w:r w:rsidRPr="00061E55">
        <w:rPr>
          <w:rFonts w:asciiTheme="majorHAnsi" w:eastAsia="Times New Roman" w:hAnsiTheme="majorHAnsi" w:cstheme="majorHAnsi"/>
          <w:kern w:val="0"/>
          <w:sz w:val="24"/>
          <w:szCs w:val="24"/>
          <w:lang w:eastAsia="es-ES_tradnl"/>
          <w14:ligatures w14:val="none"/>
        </w:rPr>
        <w:t>El asesinato por razón de género es el punto final de una trayectoria previa de control, subordinación y cosificación. No se produce en el vacío. Es la consecuencia de una violencia sistemática que opera en un contexto cultural y social que ha tolerado, minimizado o invisibilizado sus manifestaciones previas.</w:t>
      </w:r>
    </w:p>
    <w:p w14:paraId="07409AC3" w14:textId="21035115" w:rsidR="00061E55" w:rsidRPr="00061E55" w:rsidRDefault="00061E55" w:rsidP="00061E55">
      <w:pPr>
        <w:jc w:val="both"/>
        <w:rPr>
          <w:rFonts w:asciiTheme="majorHAnsi" w:eastAsia="Times New Roman" w:hAnsiTheme="majorHAnsi" w:cstheme="majorHAnsi"/>
          <w:kern w:val="0"/>
          <w:sz w:val="24"/>
          <w:szCs w:val="24"/>
          <w:lang w:eastAsia="es-ES_tradnl"/>
          <w14:ligatures w14:val="none"/>
        </w:rPr>
      </w:pPr>
      <w:r w:rsidRPr="00061E55">
        <w:rPr>
          <w:rFonts w:asciiTheme="majorHAnsi" w:eastAsia="Times New Roman" w:hAnsiTheme="majorHAnsi" w:cstheme="majorHAnsi"/>
          <w:kern w:val="0"/>
          <w:sz w:val="24"/>
          <w:szCs w:val="24"/>
          <w:lang w:eastAsia="es-ES_tradnl"/>
          <w14:ligatures w14:val="none"/>
        </w:rPr>
        <w:t xml:space="preserve">Por ello, cuando la violencia culmina en asesinato, la respuesta institucional no puede limitarse a la condena formal o al recuento estadístico. </w:t>
      </w:r>
      <w:r w:rsidRPr="00061E55">
        <w:rPr>
          <w:rFonts w:asciiTheme="majorHAnsi" w:eastAsia="Times New Roman" w:hAnsiTheme="majorHAnsi" w:cstheme="majorHAnsi"/>
          <w:b/>
          <w:bCs/>
          <w:kern w:val="0"/>
          <w:sz w:val="24"/>
          <w:szCs w:val="24"/>
          <w:lang w:eastAsia="es-ES_tradnl"/>
          <w14:ligatures w14:val="none"/>
        </w:rPr>
        <w:t>Cada asesinato por violencia de género constituye, una vulneración del derecho a la vida, una quiebra del principio de igualdad, una lesión de la dignidad humana y una fractura del pacto democrático</w:t>
      </w:r>
      <w:r w:rsidRPr="00061E55">
        <w:rPr>
          <w:rFonts w:asciiTheme="majorHAnsi" w:eastAsia="Times New Roman" w:hAnsiTheme="majorHAnsi" w:cstheme="majorHAnsi"/>
          <w:kern w:val="0"/>
          <w:sz w:val="24"/>
          <w:szCs w:val="24"/>
          <w:lang w:eastAsia="es-ES_tradnl"/>
          <w14:ligatures w14:val="none"/>
        </w:rPr>
        <w:t>.</w:t>
      </w:r>
    </w:p>
    <w:p w14:paraId="547DED4D" w14:textId="77777777" w:rsidR="00061E55" w:rsidRPr="00061E55" w:rsidRDefault="00061E55" w:rsidP="00061E55">
      <w:pPr>
        <w:jc w:val="both"/>
        <w:rPr>
          <w:rFonts w:asciiTheme="majorHAnsi" w:eastAsia="Times New Roman" w:hAnsiTheme="majorHAnsi" w:cstheme="majorHAnsi"/>
          <w:kern w:val="0"/>
          <w:sz w:val="24"/>
          <w:szCs w:val="24"/>
          <w:lang w:eastAsia="es-ES_tradnl"/>
          <w14:ligatures w14:val="none"/>
        </w:rPr>
      </w:pPr>
      <w:r w:rsidRPr="00061E55">
        <w:rPr>
          <w:rFonts w:asciiTheme="majorHAnsi" w:eastAsia="Times New Roman" w:hAnsiTheme="majorHAnsi" w:cstheme="majorHAnsi"/>
          <w:kern w:val="0"/>
          <w:sz w:val="24"/>
          <w:szCs w:val="24"/>
          <w:lang w:eastAsia="es-ES_tradnl"/>
          <w14:ligatures w14:val="none"/>
        </w:rPr>
        <w:t>La declaración de luto oficial reconoce esta dimensión estructural y pública del daño.</w:t>
      </w:r>
    </w:p>
    <w:p w14:paraId="51EF43CE" w14:textId="6AEC417D" w:rsidR="00F26809" w:rsidRPr="00F26809" w:rsidRDefault="00F26809" w:rsidP="00443FF1">
      <w:pPr>
        <w:jc w:val="both"/>
        <w:rPr>
          <w:rFonts w:asciiTheme="majorHAnsi" w:hAnsiTheme="majorHAnsi" w:cstheme="majorHAnsi"/>
        </w:rPr>
      </w:pPr>
    </w:p>
    <w:p w14:paraId="63091166" w14:textId="3AF2B7B2" w:rsidR="00F26809" w:rsidRPr="00F26809" w:rsidRDefault="00061E55" w:rsidP="00443FF1">
      <w:pPr>
        <w:pStyle w:val="Ttulo2"/>
        <w:jc w:val="both"/>
        <w:rPr>
          <w:rFonts w:cstheme="majorHAnsi"/>
        </w:rPr>
      </w:pPr>
      <w:r>
        <w:rPr>
          <w:rFonts w:cstheme="majorHAnsi"/>
        </w:rPr>
        <w:t>3</w:t>
      </w:r>
      <w:r w:rsidR="00F26809" w:rsidRPr="00F26809">
        <w:rPr>
          <w:rFonts w:cstheme="majorHAnsi"/>
        </w:rPr>
        <w:t>. Marco normativo internacional aplicable</w:t>
      </w:r>
    </w:p>
    <w:p w14:paraId="6DED4E8B" w14:textId="59F27930" w:rsidR="00F26809" w:rsidRPr="00F26809" w:rsidRDefault="00061E55" w:rsidP="00443FF1">
      <w:pPr>
        <w:pStyle w:val="Ttulo3"/>
        <w:jc w:val="both"/>
        <w:rPr>
          <w:rFonts w:cstheme="majorHAnsi"/>
        </w:rPr>
      </w:pPr>
      <w:r>
        <w:rPr>
          <w:rFonts w:cstheme="majorHAnsi"/>
        </w:rPr>
        <w:t>3</w:t>
      </w:r>
      <w:r w:rsidR="00F26809" w:rsidRPr="00F26809">
        <w:rPr>
          <w:rFonts w:cstheme="majorHAnsi"/>
        </w:rPr>
        <w:t>.1. CEDAW: violencia de género como discriminación y violación de derechos humanos</w:t>
      </w:r>
    </w:p>
    <w:p w14:paraId="43EB1831"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 xml:space="preserve">España es Estado Parte de la </w:t>
      </w:r>
      <w:r w:rsidRPr="00F26809">
        <w:rPr>
          <w:rStyle w:val="Fuerte"/>
          <w:rFonts w:asciiTheme="majorHAnsi" w:hAnsiTheme="majorHAnsi" w:cstheme="majorHAnsi"/>
        </w:rPr>
        <w:t>Convención sobre la Eliminación de Todas las Formas de Discriminación contra la Mujer (CEDAW)</w:t>
      </w:r>
      <w:r w:rsidRPr="00F26809">
        <w:rPr>
          <w:rFonts w:asciiTheme="majorHAnsi" w:hAnsiTheme="majorHAnsi" w:cstheme="majorHAnsi"/>
        </w:rPr>
        <w:t>. La CEDAW impone obligaciones positivas de carácter inmediato y progresivo para eliminar la discriminación contra las mujeres en todas sus formas.</w:t>
      </w:r>
    </w:p>
    <w:p w14:paraId="2D0BE6A5"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En particular:</w:t>
      </w:r>
    </w:p>
    <w:p w14:paraId="3C9C0F6C" w14:textId="77777777" w:rsidR="00F26809" w:rsidRPr="00F26809" w:rsidRDefault="00F26809" w:rsidP="00443FF1">
      <w:pPr>
        <w:pStyle w:val="NormalWeb"/>
        <w:numPr>
          <w:ilvl w:val="0"/>
          <w:numId w:val="4"/>
        </w:numPr>
        <w:jc w:val="both"/>
        <w:rPr>
          <w:rFonts w:asciiTheme="majorHAnsi" w:hAnsiTheme="majorHAnsi" w:cstheme="majorHAnsi"/>
        </w:rPr>
      </w:pPr>
      <w:r w:rsidRPr="00F26809">
        <w:rPr>
          <w:rStyle w:val="Fuerte"/>
          <w:rFonts w:asciiTheme="majorHAnsi" w:hAnsiTheme="majorHAnsi" w:cstheme="majorHAnsi"/>
        </w:rPr>
        <w:t>Artículo 2 CEDAW</w:t>
      </w:r>
      <w:r w:rsidRPr="00F26809">
        <w:rPr>
          <w:rFonts w:asciiTheme="majorHAnsi" w:hAnsiTheme="majorHAnsi" w:cstheme="majorHAnsi"/>
        </w:rPr>
        <w:t>: obliga a los Estados a condenar la discriminación contra la mujer y adoptar, “por todos los medios apropiados”, políticas orientadas a eliminarla, incluyendo medidas legislativas y de otro tipo.</w:t>
      </w:r>
    </w:p>
    <w:p w14:paraId="4A088703" w14:textId="77777777" w:rsidR="00F26809" w:rsidRPr="00F26809" w:rsidRDefault="00F26809" w:rsidP="00443FF1">
      <w:pPr>
        <w:pStyle w:val="NormalWeb"/>
        <w:numPr>
          <w:ilvl w:val="0"/>
          <w:numId w:val="4"/>
        </w:numPr>
        <w:jc w:val="both"/>
        <w:rPr>
          <w:rFonts w:asciiTheme="majorHAnsi" w:hAnsiTheme="majorHAnsi" w:cstheme="majorHAnsi"/>
        </w:rPr>
      </w:pPr>
      <w:r w:rsidRPr="00F26809">
        <w:rPr>
          <w:rStyle w:val="Fuerte"/>
          <w:rFonts w:asciiTheme="majorHAnsi" w:hAnsiTheme="majorHAnsi" w:cstheme="majorHAnsi"/>
        </w:rPr>
        <w:t>Artículo 5 CEDAW</w:t>
      </w:r>
      <w:r w:rsidRPr="00F26809">
        <w:rPr>
          <w:rFonts w:asciiTheme="majorHAnsi" w:hAnsiTheme="majorHAnsi" w:cstheme="majorHAnsi"/>
        </w:rPr>
        <w:t>: obliga a adoptar medidas para modificar patrones socioculturales de conducta y eliminar prejuicios y prácticas basadas en la inferioridad o superioridad de cualquiera de los sexos o en funciones estereotipadas.</w:t>
      </w:r>
    </w:p>
    <w:p w14:paraId="443063B1"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La interpretación consolidada del Comité CEDAW (incluida su doctrina sobre violencia de género) establece que la violencia contra las mujeres constituye una forma de discriminación, y que el Estado debe actuar con la máxima diligencia para prevenir, investigar, sancionar y reparar.</w:t>
      </w:r>
    </w:p>
    <w:p w14:paraId="0F6D62D5" w14:textId="394393B1"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 xml:space="preserve">En consecuencia, la respuesta estatal ante asesinatos por violencia de género no puede limitarse al plano penal: la CEDAW exige un enfoque estructural, que incorpore medidas que combatan la normalización social, el silenciamiento y la </w:t>
      </w:r>
      <w:r w:rsidR="00443FF1" w:rsidRPr="00F26809">
        <w:rPr>
          <w:rFonts w:asciiTheme="majorHAnsi" w:hAnsiTheme="majorHAnsi" w:cstheme="majorHAnsi"/>
        </w:rPr>
        <w:t>invisibilizarían</w:t>
      </w:r>
      <w:r w:rsidRPr="00F26809">
        <w:rPr>
          <w:rFonts w:asciiTheme="majorHAnsi" w:hAnsiTheme="majorHAnsi" w:cstheme="majorHAnsi"/>
        </w:rPr>
        <w:t xml:space="preserve"> de las víctimas.</w:t>
      </w:r>
    </w:p>
    <w:p w14:paraId="5CA340A0" w14:textId="00E2DF75" w:rsidR="00F26809" w:rsidRPr="00F26809" w:rsidRDefault="00F26809" w:rsidP="00061E55">
      <w:pPr>
        <w:pStyle w:val="NormalWeb"/>
        <w:jc w:val="both"/>
        <w:rPr>
          <w:rFonts w:asciiTheme="majorHAnsi" w:hAnsiTheme="majorHAnsi" w:cstheme="majorHAnsi"/>
        </w:rPr>
      </w:pPr>
      <w:r w:rsidRPr="00061E55">
        <w:rPr>
          <w:rFonts w:asciiTheme="majorHAnsi" w:hAnsiTheme="majorHAnsi" w:cstheme="majorHAnsi"/>
          <w:b/>
          <w:bCs/>
        </w:rPr>
        <w:t xml:space="preserve">La declaración de luto oficial constituye, en ese marco, una medida de </w:t>
      </w:r>
      <w:r w:rsidRPr="00061E55">
        <w:rPr>
          <w:rStyle w:val="Fuerte"/>
          <w:rFonts w:asciiTheme="majorHAnsi" w:hAnsiTheme="majorHAnsi" w:cstheme="majorHAnsi"/>
          <w:b w:val="0"/>
          <w:bCs w:val="0"/>
        </w:rPr>
        <w:t>reconocimiento institucional</w:t>
      </w:r>
      <w:r w:rsidRPr="00061E55">
        <w:rPr>
          <w:rFonts w:asciiTheme="majorHAnsi" w:hAnsiTheme="majorHAnsi" w:cstheme="majorHAnsi"/>
          <w:b/>
          <w:bCs/>
        </w:rPr>
        <w:t>, coherente con los deberes de</w:t>
      </w:r>
      <w:r w:rsidR="00061E55" w:rsidRPr="00061E55">
        <w:rPr>
          <w:rFonts w:asciiTheme="majorHAnsi" w:hAnsiTheme="majorHAnsi" w:cstheme="majorHAnsi"/>
          <w:b/>
          <w:bCs/>
        </w:rPr>
        <w:t xml:space="preserve"> </w:t>
      </w:r>
      <w:proofErr w:type="spellStart"/>
      <w:r w:rsidRPr="00061E55">
        <w:rPr>
          <w:rFonts w:asciiTheme="majorHAnsi" w:hAnsiTheme="majorHAnsi" w:cstheme="majorHAnsi"/>
          <w:b/>
          <w:bCs/>
        </w:rPr>
        <w:t>visibilización</w:t>
      </w:r>
      <w:proofErr w:type="spellEnd"/>
      <w:r w:rsidRPr="00061E55">
        <w:rPr>
          <w:rFonts w:asciiTheme="majorHAnsi" w:hAnsiTheme="majorHAnsi" w:cstheme="majorHAnsi"/>
          <w:b/>
          <w:bCs/>
        </w:rPr>
        <w:t>,</w:t>
      </w:r>
      <w:r w:rsidR="00061E55" w:rsidRPr="00061E55">
        <w:rPr>
          <w:rFonts w:asciiTheme="majorHAnsi" w:hAnsiTheme="majorHAnsi" w:cstheme="majorHAnsi"/>
          <w:b/>
          <w:bCs/>
        </w:rPr>
        <w:t xml:space="preserve"> </w:t>
      </w:r>
      <w:r w:rsidRPr="00061E55">
        <w:rPr>
          <w:rFonts w:asciiTheme="majorHAnsi" w:hAnsiTheme="majorHAnsi" w:cstheme="majorHAnsi"/>
          <w:b/>
          <w:bCs/>
        </w:rPr>
        <w:t>transformación cultural,</w:t>
      </w:r>
      <w:r w:rsidR="00061E55" w:rsidRPr="00061E55">
        <w:rPr>
          <w:rFonts w:asciiTheme="majorHAnsi" w:hAnsiTheme="majorHAnsi" w:cstheme="majorHAnsi"/>
          <w:b/>
          <w:bCs/>
        </w:rPr>
        <w:t xml:space="preserve"> </w:t>
      </w:r>
      <w:r w:rsidRPr="00061E55">
        <w:rPr>
          <w:rFonts w:asciiTheme="majorHAnsi" w:hAnsiTheme="majorHAnsi" w:cstheme="majorHAnsi"/>
          <w:b/>
          <w:bCs/>
        </w:rPr>
        <w:t>reparación simbólica,</w:t>
      </w:r>
      <w:r w:rsidR="00061E55" w:rsidRPr="00061E55">
        <w:rPr>
          <w:rFonts w:asciiTheme="majorHAnsi" w:hAnsiTheme="majorHAnsi" w:cstheme="majorHAnsi"/>
          <w:b/>
          <w:bCs/>
        </w:rPr>
        <w:t xml:space="preserve"> </w:t>
      </w:r>
      <w:r w:rsidRPr="00061E55">
        <w:rPr>
          <w:rFonts w:asciiTheme="majorHAnsi" w:hAnsiTheme="majorHAnsi" w:cstheme="majorHAnsi"/>
          <w:b/>
          <w:bCs/>
        </w:rPr>
        <w:t>y garantía de no repetición</w:t>
      </w:r>
      <w:r w:rsidRPr="00F26809">
        <w:rPr>
          <w:rFonts w:asciiTheme="majorHAnsi" w:hAnsiTheme="majorHAnsi" w:cstheme="majorHAnsi"/>
        </w:rPr>
        <w:t>.</w:t>
      </w:r>
    </w:p>
    <w:p w14:paraId="75FAA6BB" w14:textId="77777777" w:rsidR="00F26809" w:rsidRPr="00F26809" w:rsidRDefault="00F26809" w:rsidP="00443FF1">
      <w:pPr>
        <w:pStyle w:val="Ttulo3"/>
        <w:jc w:val="both"/>
        <w:rPr>
          <w:rFonts w:cstheme="majorHAnsi"/>
        </w:rPr>
      </w:pPr>
      <w:r w:rsidRPr="00F26809">
        <w:rPr>
          <w:rFonts w:cstheme="majorHAnsi"/>
        </w:rPr>
        <w:t>2.2. Convenio de Estambul: obligación de respuesta institucional y políticas integradas</w:t>
      </w:r>
    </w:p>
    <w:p w14:paraId="2BDB3D82"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 xml:space="preserve">España es Estado Parte del </w:t>
      </w:r>
      <w:r w:rsidRPr="00F26809">
        <w:rPr>
          <w:rStyle w:val="Fuerte"/>
          <w:rFonts w:asciiTheme="majorHAnsi" w:hAnsiTheme="majorHAnsi" w:cstheme="majorHAnsi"/>
        </w:rPr>
        <w:t>Convenio del Consejo de Europa sobre prevención y lucha contra la violencia contra las mujeres y la violencia doméstica</w:t>
      </w:r>
      <w:r w:rsidRPr="00F26809">
        <w:rPr>
          <w:rFonts w:asciiTheme="majorHAnsi" w:hAnsiTheme="majorHAnsi" w:cstheme="majorHAnsi"/>
        </w:rPr>
        <w:t xml:space="preserve"> (Convenio de Estambul).</w:t>
      </w:r>
    </w:p>
    <w:p w14:paraId="14D37B85"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El Convenio establece un sistema de obligaciones integrales que vincula la violencia de género con el deber de actuar de forma coordinada y con perspectiva estructural.</w:t>
      </w:r>
    </w:p>
    <w:p w14:paraId="1036683F"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Son especialmente relevantes los siguientes preceptos:</w:t>
      </w:r>
    </w:p>
    <w:p w14:paraId="124A04F1" w14:textId="77777777" w:rsidR="00F26809" w:rsidRPr="00F26809" w:rsidRDefault="00F26809" w:rsidP="00443FF1">
      <w:pPr>
        <w:pStyle w:val="NormalWeb"/>
        <w:numPr>
          <w:ilvl w:val="0"/>
          <w:numId w:val="6"/>
        </w:numPr>
        <w:jc w:val="both"/>
        <w:rPr>
          <w:rFonts w:asciiTheme="majorHAnsi" w:hAnsiTheme="majorHAnsi" w:cstheme="majorHAnsi"/>
        </w:rPr>
      </w:pPr>
      <w:r w:rsidRPr="00F26809">
        <w:rPr>
          <w:rStyle w:val="Fuerte"/>
          <w:rFonts w:asciiTheme="majorHAnsi" w:hAnsiTheme="majorHAnsi" w:cstheme="majorHAnsi"/>
        </w:rPr>
        <w:lastRenderedPageBreak/>
        <w:t>Artículo 5 (Obligaciones del Estado y diligencia debida):</w:t>
      </w:r>
      <w:r w:rsidRPr="00F26809">
        <w:rPr>
          <w:rFonts w:asciiTheme="majorHAnsi" w:hAnsiTheme="majorHAnsi" w:cstheme="majorHAnsi"/>
        </w:rPr>
        <w:br/>
        <w:t>Establece que los Estados deben abstenerse de participar en actos de violencia y, además, adoptar medidas legislativas y de otra índole para actuar con la diligencia debida para prevenir, investigar, sancionar y reparar actos de violencia cubiertos por el Convenio.</w:t>
      </w:r>
    </w:p>
    <w:p w14:paraId="3CAC530A" w14:textId="77777777" w:rsidR="00F26809" w:rsidRPr="00F26809" w:rsidRDefault="00F26809" w:rsidP="00443FF1">
      <w:pPr>
        <w:pStyle w:val="NormalWeb"/>
        <w:numPr>
          <w:ilvl w:val="0"/>
          <w:numId w:val="6"/>
        </w:numPr>
        <w:jc w:val="both"/>
        <w:rPr>
          <w:rFonts w:asciiTheme="majorHAnsi" w:hAnsiTheme="majorHAnsi" w:cstheme="majorHAnsi"/>
        </w:rPr>
      </w:pPr>
      <w:r w:rsidRPr="00F26809">
        <w:rPr>
          <w:rStyle w:val="Fuerte"/>
          <w:rFonts w:asciiTheme="majorHAnsi" w:hAnsiTheme="majorHAnsi" w:cstheme="majorHAnsi"/>
        </w:rPr>
        <w:t>Artículo 12 (Obligaciones generales de prevención):</w:t>
      </w:r>
      <w:r w:rsidRPr="00F26809">
        <w:rPr>
          <w:rFonts w:asciiTheme="majorHAnsi" w:hAnsiTheme="majorHAnsi" w:cstheme="majorHAnsi"/>
        </w:rPr>
        <w:br/>
        <w:t>Obliga a adoptar medidas para promover cambios en los patrones sociales y culturales de comportamiento, con el fin de erradicar prejuicios, costumbres, tradiciones y prácticas basadas en la inferioridad de las mujeres o en roles estereotipados.</w:t>
      </w:r>
    </w:p>
    <w:p w14:paraId="39FA7708" w14:textId="77777777" w:rsidR="00F26809" w:rsidRPr="00F26809" w:rsidRDefault="00F26809" w:rsidP="00443FF1">
      <w:pPr>
        <w:pStyle w:val="NormalWeb"/>
        <w:numPr>
          <w:ilvl w:val="0"/>
          <w:numId w:val="6"/>
        </w:numPr>
        <w:jc w:val="both"/>
        <w:rPr>
          <w:rFonts w:asciiTheme="majorHAnsi" w:hAnsiTheme="majorHAnsi" w:cstheme="majorHAnsi"/>
        </w:rPr>
      </w:pPr>
      <w:r w:rsidRPr="00F26809">
        <w:rPr>
          <w:rStyle w:val="Fuerte"/>
          <w:rFonts w:asciiTheme="majorHAnsi" w:hAnsiTheme="majorHAnsi" w:cstheme="majorHAnsi"/>
        </w:rPr>
        <w:t>Artículo 13 (Sensibilización):</w:t>
      </w:r>
      <w:r w:rsidRPr="00F26809">
        <w:rPr>
          <w:rFonts w:asciiTheme="majorHAnsi" w:hAnsiTheme="majorHAnsi" w:cstheme="majorHAnsi"/>
        </w:rPr>
        <w:br/>
        <w:t>Obliga a promover o llevar a cabo campañas y programas de sensibilización para aumentar la comprensión pública sobre la violencia contra las mujeres y su impacto.</w:t>
      </w:r>
    </w:p>
    <w:p w14:paraId="58B543EC" w14:textId="77777777" w:rsidR="00F26809" w:rsidRPr="00F26809" w:rsidRDefault="00F26809" w:rsidP="00443FF1">
      <w:pPr>
        <w:pStyle w:val="NormalWeb"/>
        <w:numPr>
          <w:ilvl w:val="0"/>
          <w:numId w:val="6"/>
        </w:numPr>
        <w:jc w:val="both"/>
        <w:rPr>
          <w:rFonts w:asciiTheme="majorHAnsi" w:hAnsiTheme="majorHAnsi" w:cstheme="majorHAnsi"/>
        </w:rPr>
      </w:pPr>
      <w:r w:rsidRPr="00F26809">
        <w:rPr>
          <w:rStyle w:val="Fuerte"/>
          <w:rFonts w:asciiTheme="majorHAnsi" w:hAnsiTheme="majorHAnsi" w:cstheme="majorHAnsi"/>
        </w:rPr>
        <w:t>Artículo 18 (Obligaciones generales de protección y apoyo):</w:t>
      </w:r>
      <w:r w:rsidRPr="00F26809">
        <w:rPr>
          <w:rFonts w:asciiTheme="majorHAnsi" w:hAnsiTheme="majorHAnsi" w:cstheme="majorHAnsi"/>
        </w:rPr>
        <w:br/>
        <w:t>Impone el deber de adoptar medidas para proteger y apoyar a las víctimas.</w:t>
      </w:r>
    </w:p>
    <w:p w14:paraId="74525099" w14:textId="6E651D95" w:rsidR="00F26809" w:rsidRPr="00061E55" w:rsidRDefault="00F26809" w:rsidP="00061E55">
      <w:pPr>
        <w:pStyle w:val="NormalWeb"/>
        <w:jc w:val="both"/>
        <w:rPr>
          <w:rFonts w:asciiTheme="majorHAnsi" w:hAnsiTheme="majorHAnsi" w:cstheme="majorHAnsi"/>
          <w:b/>
          <w:bCs/>
        </w:rPr>
      </w:pPr>
      <w:r w:rsidRPr="00061E55">
        <w:rPr>
          <w:rFonts w:asciiTheme="majorHAnsi" w:hAnsiTheme="majorHAnsi" w:cstheme="majorHAnsi"/>
          <w:b/>
          <w:bCs/>
        </w:rPr>
        <w:t>La declaración de luto oficial encaja en el núcleo de las obligaciones de los artículos 12 y 13, pues constituye una medida de alto impacto institucional orientada a</w:t>
      </w:r>
      <w:r w:rsidR="00061E55" w:rsidRPr="00061E55">
        <w:rPr>
          <w:rFonts w:asciiTheme="majorHAnsi" w:hAnsiTheme="majorHAnsi" w:cstheme="majorHAnsi"/>
          <w:b/>
          <w:bCs/>
        </w:rPr>
        <w:t xml:space="preserve"> </w:t>
      </w:r>
      <w:r w:rsidRPr="00061E55">
        <w:rPr>
          <w:rFonts w:asciiTheme="majorHAnsi" w:hAnsiTheme="majorHAnsi" w:cstheme="majorHAnsi"/>
          <w:b/>
          <w:bCs/>
        </w:rPr>
        <w:t>reforzar el rechazo público,</w:t>
      </w:r>
      <w:r w:rsidR="00061E55" w:rsidRPr="00061E55">
        <w:rPr>
          <w:rFonts w:asciiTheme="majorHAnsi" w:hAnsiTheme="majorHAnsi" w:cstheme="majorHAnsi"/>
          <w:b/>
          <w:bCs/>
        </w:rPr>
        <w:t xml:space="preserve"> </w:t>
      </w:r>
      <w:r w:rsidRPr="00061E55">
        <w:rPr>
          <w:rFonts w:asciiTheme="majorHAnsi" w:hAnsiTheme="majorHAnsi" w:cstheme="majorHAnsi"/>
          <w:b/>
          <w:bCs/>
        </w:rPr>
        <w:t>evitar la banalización social</w:t>
      </w:r>
      <w:r w:rsidR="00061E55" w:rsidRPr="00061E55">
        <w:rPr>
          <w:rFonts w:asciiTheme="majorHAnsi" w:hAnsiTheme="majorHAnsi" w:cstheme="majorHAnsi"/>
          <w:b/>
          <w:bCs/>
        </w:rPr>
        <w:t xml:space="preserve">, </w:t>
      </w:r>
      <w:r w:rsidRPr="00061E55">
        <w:rPr>
          <w:rFonts w:asciiTheme="majorHAnsi" w:hAnsiTheme="majorHAnsi" w:cstheme="majorHAnsi"/>
          <w:b/>
          <w:bCs/>
        </w:rPr>
        <w:t>reconocer a las víctimas,</w:t>
      </w:r>
      <w:r w:rsidR="00061E55" w:rsidRPr="00061E55">
        <w:rPr>
          <w:rFonts w:asciiTheme="majorHAnsi" w:hAnsiTheme="majorHAnsi" w:cstheme="majorHAnsi"/>
          <w:b/>
          <w:bCs/>
        </w:rPr>
        <w:t xml:space="preserve"> </w:t>
      </w:r>
      <w:r w:rsidRPr="00061E55">
        <w:rPr>
          <w:rFonts w:asciiTheme="majorHAnsi" w:hAnsiTheme="majorHAnsi" w:cstheme="majorHAnsi"/>
          <w:b/>
          <w:bCs/>
        </w:rPr>
        <w:t xml:space="preserve">y promover un cambio </w:t>
      </w:r>
      <w:r w:rsidR="00061E55">
        <w:rPr>
          <w:rFonts w:asciiTheme="majorHAnsi" w:hAnsiTheme="majorHAnsi" w:cstheme="majorHAnsi"/>
          <w:b/>
          <w:bCs/>
        </w:rPr>
        <w:t>social</w:t>
      </w:r>
      <w:r w:rsidRPr="00061E55">
        <w:rPr>
          <w:rFonts w:asciiTheme="majorHAnsi" w:hAnsiTheme="majorHAnsi" w:cstheme="majorHAnsi"/>
          <w:b/>
          <w:bCs/>
        </w:rPr>
        <w:t>.</w:t>
      </w:r>
    </w:p>
    <w:p w14:paraId="14EAF206" w14:textId="3925CAE3" w:rsidR="00F26809" w:rsidRPr="00F26809" w:rsidRDefault="00F26809" w:rsidP="00443FF1">
      <w:pPr>
        <w:jc w:val="both"/>
        <w:rPr>
          <w:rFonts w:asciiTheme="majorHAnsi" w:hAnsiTheme="majorHAnsi" w:cstheme="majorHAnsi"/>
        </w:rPr>
      </w:pPr>
    </w:p>
    <w:p w14:paraId="14538E00" w14:textId="77777777" w:rsidR="00F26809" w:rsidRPr="00F26809" w:rsidRDefault="00F26809" w:rsidP="00443FF1">
      <w:pPr>
        <w:pStyle w:val="Ttulo2"/>
        <w:jc w:val="both"/>
        <w:rPr>
          <w:rFonts w:cstheme="majorHAnsi"/>
        </w:rPr>
      </w:pPr>
      <w:r w:rsidRPr="00F26809">
        <w:rPr>
          <w:rFonts w:cstheme="majorHAnsi"/>
        </w:rPr>
        <w:t>3. Estándar de diligencia debida y responsabilidad estatal</w:t>
      </w:r>
    </w:p>
    <w:p w14:paraId="647B43DB" w14:textId="77777777" w:rsidR="00F26809" w:rsidRPr="00F26809" w:rsidRDefault="00F26809" w:rsidP="00443FF1">
      <w:pPr>
        <w:pStyle w:val="Ttulo3"/>
        <w:jc w:val="both"/>
        <w:rPr>
          <w:rFonts w:cstheme="majorHAnsi"/>
        </w:rPr>
      </w:pPr>
      <w:r w:rsidRPr="00F26809">
        <w:rPr>
          <w:rFonts w:cstheme="majorHAnsi"/>
        </w:rPr>
        <w:t>3.1. La diligencia debida como obligación reforzada</w:t>
      </w:r>
    </w:p>
    <w:p w14:paraId="67E708B1"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En el Derecho Internacional de los Derechos Humanos, la diligencia debida es un estándar que exige a los Estados actuar de manera efectiva frente a violencias graves cometidas por actores privados, cuando dichas violencias afectan derechos fundamentales.</w:t>
      </w:r>
    </w:p>
    <w:p w14:paraId="254549DD"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En materia de violencia de género, el estándar se encuentra expresamente positivizado en el artículo 5 del Convenio de Estambul y ha sido reiterado por órganos de tratados (incluido el Comité CEDAW).</w:t>
      </w:r>
    </w:p>
    <w:p w14:paraId="6E2F7BC6"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La diligencia debida no se agota en la persecución penal: incluye políticas públicas y respuestas institucionales que cumplan una función preventiva, reparadora y de garantía de no repetición.</w:t>
      </w:r>
    </w:p>
    <w:p w14:paraId="2EAC48A0" w14:textId="77777777" w:rsidR="00F26809" w:rsidRPr="00F26809" w:rsidRDefault="00F26809" w:rsidP="00443FF1">
      <w:pPr>
        <w:pStyle w:val="Ttulo3"/>
        <w:jc w:val="both"/>
        <w:rPr>
          <w:rFonts w:cstheme="majorHAnsi"/>
        </w:rPr>
      </w:pPr>
      <w:r w:rsidRPr="00F26809">
        <w:rPr>
          <w:rFonts w:cstheme="majorHAnsi"/>
        </w:rPr>
        <w:t>3.2. Diligencia debida y dimensión simbólica de la reparación</w:t>
      </w:r>
    </w:p>
    <w:p w14:paraId="226AF8F8"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La reparación en derechos humanos incluye dimensiones:</w:t>
      </w:r>
    </w:p>
    <w:p w14:paraId="7CDE0992" w14:textId="77777777" w:rsidR="00F26809" w:rsidRPr="00F26809" w:rsidRDefault="00F26809" w:rsidP="00443FF1">
      <w:pPr>
        <w:pStyle w:val="NormalWeb"/>
        <w:numPr>
          <w:ilvl w:val="0"/>
          <w:numId w:val="8"/>
        </w:numPr>
        <w:jc w:val="both"/>
        <w:rPr>
          <w:rFonts w:asciiTheme="majorHAnsi" w:hAnsiTheme="majorHAnsi" w:cstheme="majorHAnsi"/>
        </w:rPr>
      </w:pPr>
      <w:r w:rsidRPr="00F26809">
        <w:rPr>
          <w:rFonts w:asciiTheme="majorHAnsi" w:hAnsiTheme="majorHAnsi" w:cstheme="majorHAnsi"/>
        </w:rPr>
        <w:t>restitutivas,</w:t>
      </w:r>
    </w:p>
    <w:p w14:paraId="6D22312E" w14:textId="77777777" w:rsidR="00F26809" w:rsidRPr="00F26809" w:rsidRDefault="00F26809" w:rsidP="00443FF1">
      <w:pPr>
        <w:pStyle w:val="NormalWeb"/>
        <w:numPr>
          <w:ilvl w:val="0"/>
          <w:numId w:val="8"/>
        </w:numPr>
        <w:jc w:val="both"/>
        <w:rPr>
          <w:rFonts w:asciiTheme="majorHAnsi" w:hAnsiTheme="majorHAnsi" w:cstheme="majorHAnsi"/>
        </w:rPr>
      </w:pPr>
      <w:r w:rsidRPr="00F26809">
        <w:rPr>
          <w:rFonts w:asciiTheme="majorHAnsi" w:hAnsiTheme="majorHAnsi" w:cstheme="majorHAnsi"/>
        </w:rPr>
        <w:lastRenderedPageBreak/>
        <w:t>indemnizatorias,</w:t>
      </w:r>
    </w:p>
    <w:p w14:paraId="53C59763" w14:textId="77777777" w:rsidR="00F26809" w:rsidRPr="00F26809" w:rsidRDefault="00F26809" w:rsidP="00443FF1">
      <w:pPr>
        <w:pStyle w:val="NormalWeb"/>
        <w:numPr>
          <w:ilvl w:val="0"/>
          <w:numId w:val="8"/>
        </w:numPr>
        <w:jc w:val="both"/>
        <w:rPr>
          <w:rFonts w:asciiTheme="majorHAnsi" w:hAnsiTheme="majorHAnsi" w:cstheme="majorHAnsi"/>
        </w:rPr>
      </w:pPr>
      <w:r w:rsidRPr="00F26809">
        <w:rPr>
          <w:rFonts w:asciiTheme="majorHAnsi" w:hAnsiTheme="majorHAnsi" w:cstheme="majorHAnsi"/>
        </w:rPr>
        <w:t>rehabilitadoras,</w:t>
      </w:r>
    </w:p>
    <w:p w14:paraId="5E4D9D89" w14:textId="77777777" w:rsidR="00F26809" w:rsidRPr="00F26809" w:rsidRDefault="00F26809" w:rsidP="00443FF1">
      <w:pPr>
        <w:pStyle w:val="NormalWeb"/>
        <w:numPr>
          <w:ilvl w:val="0"/>
          <w:numId w:val="8"/>
        </w:numPr>
        <w:jc w:val="both"/>
        <w:rPr>
          <w:rFonts w:asciiTheme="majorHAnsi" w:hAnsiTheme="majorHAnsi" w:cstheme="majorHAnsi"/>
        </w:rPr>
      </w:pPr>
      <w:r w:rsidRPr="00F26809">
        <w:rPr>
          <w:rFonts w:asciiTheme="majorHAnsi" w:hAnsiTheme="majorHAnsi" w:cstheme="majorHAnsi"/>
        </w:rPr>
        <w:t xml:space="preserve">y también </w:t>
      </w:r>
      <w:r w:rsidRPr="00F26809">
        <w:rPr>
          <w:rStyle w:val="Fuerte"/>
          <w:rFonts w:asciiTheme="majorHAnsi" w:hAnsiTheme="majorHAnsi" w:cstheme="majorHAnsi"/>
        </w:rPr>
        <w:t>simbólicas</w:t>
      </w:r>
      <w:r w:rsidRPr="00F26809">
        <w:rPr>
          <w:rFonts w:asciiTheme="majorHAnsi" w:hAnsiTheme="majorHAnsi" w:cstheme="majorHAnsi"/>
        </w:rPr>
        <w:t>.</w:t>
      </w:r>
    </w:p>
    <w:p w14:paraId="62A1722D"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En violencia de género, la reparación simbólica adquiere especial relevancia por el carácter estructural de la violencia y por el riesgo de normalización social.</w:t>
      </w:r>
    </w:p>
    <w:p w14:paraId="66A60748"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La declaración de luto oficial cumple una función reparadora simbólica por cuanto:</w:t>
      </w:r>
    </w:p>
    <w:p w14:paraId="0A723452" w14:textId="77777777" w:rsidR="00F26809" w:rsidRPr="00F26809" w:rsidRDefault="00F26809" w:rsidP="00443FF1">
      <w:pPr>
        <w:pStyle w:val="NormalWeb"/>
        <w:numPr>
          <w:ilvl w:val="0"/>
          <w:numId w:val="9"/>
        </w:numPr>
        <w:jc w:val="both"/>
        <w:rPr>
          <w:rFonts w:asciiTheme="majorHAnsi" w:hAnsiTheme="majorHAnsi" w:cstheme="majorHAnsi"/>
        </w:rPr>
      </w:pPr>
      <w:r w:rsidRPr="00F26809">
        <w:rPr>
          <w:rFonts w:asciiTheme="majorHAnsi" w:hAnsiTheme="majorHAnsi" w:cstheme="majorHAnsi"/>
        </w:rPr>
        <w:t>reconoce la dignidad de la víctima,</w:t>
      </w:r>
    </w:p>
    <w:p w14:paraId="5A4DD520" w14:textId="77777777" w:rsidR="00F26809" w:rsidRPr="00F26809" w:rsidRDefault="00F26809" w:rsidP="00443FF1">
      <w:pPr>
        <w:pStyle w:val="NormalWeb"/>
        <w:numPr>
          <w:ilvl w:val="0"/>
          <w:numId w:val="9"/>
        </w:numPr>
        <w:jc w:val="both"/>
        <w:rPr>
          <w:rFonts w:asciiTheme="majorHAnsi" w:hAnsiTheme="majorHAnsi" w:cstheme="majorHAnsi"/>
        </w:rPr>
      </w:pPr>
      <w:r w:rsidRPr="00F26809">
        <w:rPr>
          <w:rFonts w:asciiTheme="majorHAnsi" w:hAnsiTheme="majorHAnsi" w:cstheme="majorHAnsi"/>
        </w:rPr>
        <w:t>otorga visibilidad pública al daño,</w:t>
      </w:r>
    </w:p>
    <w:p w14:paraId="76F61453" w14:textId="77777777" w:rsidR="00F26809" w:rsidRPr="00F26809" w:rsidRDefault="00F26809" w:rsidP="00443FF1">
      <w:pPr>
        <w:pStyle w:val="NormalWeb"/>
        <w:numPr>
          <w:ilvl w:val="0"/>
          <w:numId w:val="9"/>
        </w:numPr>
        <w:jc w:val="both"/>
        <w:rPr>
          <w:rFonts w:asciiTheme="majorHAnsi" w:hAnsiTheme="majorHAnsi" w:cstheme="majorHAnsi"/>
        </w:rPr>
      </w:pPr>
      <w:r w:rsidRPr="00F26809">
        <w:rPr>
          <w:rFonts w:asciiTheme="majorHAnsi" w:hAnsiTheme="majorHAnsi" w:cstheme="majorHAnsi"/>
        </w:rPr>
        <w:t>afirma la responsabilidad colectiva en su erradicación,</w:t>
      </w:r>
    </w:p>
    <w:p w14:paraId="59769CFA" w14:textId="77777777" w:rsidR="00F26809" w:rsidRDefault="00F26809" w:rsidP="00443FF1">
      <w:pPr>
        <w:pStyle w:val="NormalWeb"/>
        <w:numPr>
          <w:ilvl w:val="0"/>
          <w:numId w:val="9"/>
        </w:numPr>
        <w:jc w:val="both"/>
        <w:rPr>
          <w:rFonts w:asciiTheme="majorHAnsi" w:hAnsiTheme="majorHAnsi" w:cstheme="majorHAnsi"/>
        </w:rPr>
      </w:pPr>
      <w:r w:rsidRPr="00F26809">
        <w:rPr>
          <w:rFonts w:asciiTheme="majorHAnsi" w:hAnsiTheme="majorHAnsi" w:cstheme="majorHAnsi"/>
        </w:rPr>
        <w:t>y contribuye a la prevención mediante un mensaje estatal claro de intolerancia.</w:t>
      </w:r>
    </w:p>
    <w:p w14:paraId="5018E17A" w14:textId="77777777" w:rsidR="00061E55" w:rsidRDefault="00061E55" w:rsidP="00B81A2B">
      <w:pPr>
        <w:pStyle w:val="NormalWeb"/>
        <w:jc w:val="both"/>
        <w:rPr>
          <w:rFonts w:asciiTheme="majorHAnsi" w:hAnsiTheme="majorHAnsi" w:cstheme="majorHAnsi"/>
        </w:rPr>
      </w:pPr>
    </w:p>
    <w:p w14:paraId="6B93BCCA" w14:textId="77777777" w:rsidR="00061E55" w:rsidRPr="00061E55" w:rsidRDefault="00061E55" w:rsidP="00061E55">
      <w:pPr>
        <w:pStyle w:val="Ttulo3"/>
        <w:jc w:val="both"/>
        <w:rPr>
          <w:rFonts w:cstheme="majorHAnsi"/>
        </w:rPr>
      </w:pPr>
      <w:r w:rsidRPr="00061E55">
        <w:rPr>
          <w:rFonts w:cstheme="majorHAnsi"/>
        </w:rPr>
        <w:t>3.3. Directiva (UE) 2024/1385 del Parlamento Europeo y del Consejo, de 14 de mayo de 2024</w:t>
      </w:r>
    </w:p>
    <w:p w14:paraId="1DBE8094" w14:textId="77777777" w:rsidR="00061E55" w:rsidRPr="00061E55" w:rsidRDefault="00061E55" w:rsidP="00061E55">
      <w:pPr>
        <w:pStyle w:val="NormalWeb"/>
        <w:jc w:val="both"/>
        <w:rPr>
          <w:rFonts w:asciiTheme="majorHAnsi" w:hAnsiTheme="majorHAnsi" w:cstheme="majorHAnsi"/>
        </w:rPr>
      </w:pPr>
      <w:r w:rsidRPr="00061E55">
        <w:rPr>
          <w:rFonts w:asciiTheme="majorHAnsi" w:hAnsiTheme="majorHAnsi" w:cstheme="majorHAnsi"/>
        </w:rPr>
        <w:t xml:space="preserve">La </w:t>
      </w:r>
      <w:r w:rsidRPr="00061E55">
        <w:rPr>
          <w:rFonts w:asciiTheme="majorHAnsi" w:hAnsiTheme="majorHAnsi" w:cstheme="majorHAnsi"/>
          <w:b/>
          <w:bCs/>
        </w:rPr>
        <w:t>Directiva (UE) 2024/1385 sobre la lucha contra la violencia contra las mujeres y la violencia doméstica</w:t>
      </w:r>
      <w:r w:rsidRPr="00061E55">
        <w:rPr>
          <w:rFonts w:asciiTheme="majorHAnsi" w:hAnsiTheme="majorHAnsi" w:cstheme="majorHAnsi"/>
        </w:rPr>
        <w:t xml:space="preserve"> consolida en el ámbito europeo un enfoque basado en derechos humanos y en la igualdad sustantiva.</w:t>
      </w:r>
    </w:p>
    <w:p w14:paraId="30577686" w14:textId="77777777" w:rsidR="00061E55" w:rsidRPr="00061E55" w:rsidRDefault="00061E55" w:rsidP="00061E55">
      <w:pPr>
        <w:pStyle w:val="NormalWeb"/>
        <w:jc w:val="both"/>
        <w:rPr>
          <w:rFonts w:asciiTheme="majorHAnsi" w:hAnsiTheme="majorHAnsi" w:cstheme="majorHAnsi"/>
        </w:rPr>
      </w:pPr>
      <w:r w:rsidRPr="00061E55">
        <w:rPr>
          <w:rFonts w:asciiTheme="majorHAnsi" w:hAnsiTheme="majorHAnsi" w:cstheme="majorHAnsi"/>
        </w:rPr>
        <w:t>La Directiva reconoce que la violencia contra las mujeres:</w:t>
      </w:r>
    </w:p>
    <w:p w14:paraId="266AB478" w14:textId="77777777" w:rsidR="00061E55" w:rsidRPr="00061E55" w:rsidRDefault="00061E55" w:rsidP="00061E55">
      <w:pPr>
        <w:pStyle w:val="NormalWeb"/>
        <w:numPr>
          <w:ilvl w:val="0"/>
          <w:numId w:val="19"/>
        </w:numPr>
        <w:jc w:val="both"/>
        <w:rPr>
          <w:rFonts w:asciiTheme="majorHAnsi" w:hAnsiTheme="majorHAnsi" w:cstheme="majorHAnsi"/>
        </w:rPr>
      </w:pPr>
      <w:r w:rsidRPr="00061E55">
        <w:rPr>
          <w:rFonts w:asciiTheme="majorHAnsi" w:hAnsiTheme="majorHAnsi" w:cstheme="majorHAnsi"/>
        </w:rPr>
        <w:t>es una manifestación de discriminación estructural,</w:t>
      </w:r>
    </w:p>
    <w:p w14:paraId="669A2580" w14:textId="77777777" w:rsidR="00061E55" w:rsidRPr="00061E55" w:rsidRDefault="00061E55" w:rsidP="00061E55">
      <w:pPr>
        <w:pStyle w:val="NormalWeb"/>
        <w:numPr>
          <w:ilvl w:val="0"/>
          <w:numId w:val="19"/>
        </w:numPr>
        <w:jc w:val="both"/>
        <w:rPr>
          <w:rFonts w:asciiTheme="majorHAnsi" w:hAnsiTheme="majorHAnsi" w:cstheme="majorHAnsi"/>
        </w:rPr>
      </w:pPr>
      <w:r w:rsidRPr="00061E55">
        <w:rPr>
          <w:rFonts w:asciiTheme="majorHAnsi" w:hAnsiTheme="majorHAnsi" w:cstheme="majorHAnsi"/>
        </w:rPr>
        <w:t>tiene su origen en relaciones desiguales de poder,</w:t>
      </w:r>
    </w:p>
    <w:p w14:paraId="429D8B66" w14:textId="77777777" w:rsidR="00061E55" w:rsidRPr="00061E55" w:rsidRDefault="00061E55" w:rsidP="00061E55">
      <w:pPr>
        <w:pStyle w:val="NormalWeb"/>
        <w:numPr>
          <w:ilvl w:val="0"/>
          <w:numId w:val="19"/>
        </w:numPr>
        <w:jc w:val="both"/>
        <w:rPr>
          <w:rFonts w:asciiTheme="majorHAnsi" w:hAnsiTheme="majorHAnsi" w:cstheme="majorHAnsi"/>
        </w:rPr>
      </w:pPr>
      <w:r w:rsidRPr="00061E55">
        <w:rPr>
          <w:rFonts w:asciiTheme="majorHAnsi" w:hAnsiTheme="majorHAnsi" w:cstheme="majorHAnsi"/>
        </w:rPr>
        <w:t>y constituye una vulneración grave de derechos fundamentales.</w:t>
      </w:r>
    </w:p>
    <w:p w14:paraId="30F9911C" w14:textId="77777777" w:rsidR="00061E55" w:rsidRPr="00061E55" w:rsidRDefault="00061E55" w:rsidP="00061E55">
      <w:pPr>
        <w:pStyle w:val="NormalWeb"/>
        <w:jc w:val="both"/>
        <w:rPr>
          <w:rFonts w:asciiTheme="majorHAnsi" w:hAnsiTheme="majorHAnsi" w:cstheme="majorHAnsi"/>
        </w:rPr>
      </w:pPr>
      <w:r w:rsidRPr="00061E55">
        <w:rPr>
          <w:rFonts w:asciiTheme="majorHAnsi" w:hAnsiTheme="majorHAnsi" w:cstheme="majorHAnsi"/>
        </w:rPr>
        <w:t>Asimismo, establece la obligación de los Estados miembros de adoptar medidas no solo penales, sino también preventivas, de apoyo y de concienciación, orientadas a transformar el entorno social que permite la persistencia de la violencia.</w:t>
      </w:r>
    </w:p>
    <w:p w14:paraId="4ACCE0DB" w14:textId="7C7C803D" w:rsidR="00061E55" w:rsidRPr="00061E55" w:rsidRDefault="00061E55" w:rsidP="00061E55">
      <w:pPr>
        <w:pStyle w:val="NormalWeb"/>
        <w:jc w:val="both"/>
        <w:rPr>
          <w:rFonts w:asciiTheme="majorHAnsi" w:hAnsiTheme="majorHAnsi" w:cstheme="majorHAnsi"/>
        </w:rPr>
      </w:pPr>
      <w:r w:rsidRPr="00061E55">
        <w:rPr>
          <w:rFonts w:asciiTheme="majorHAnsi" w:hAnsiTheme="majorHAnsi" w:cstheme="majorHAnsi"/>
        </w:rPr>
        <w:t>La Directiva enfatiza</w:t>
      </w:r>
      <w:r>
        <w:rPr>
          <w:rFonts w:asciiTheme="majorHAnsi" w:hAnsiTheme="majorHAnsi" w:cstheme="majorHAnsi"/>
        </w:rPr>
        <w:t xml:space="preserve"> </w:t>
      </w:r>
      <w:r w:rsidRPr="00061E55">
        <w:rPr>
          <w:rFonts w:asciiTheme="majorHAnsi" w:hAnsiTheme="majorHAnsi" w:cstheme="majorHAnsi"/>
        </w:rPr>
        <w:t>la centralidad del enfoque integral,</w:t>
      </w:r>
      <w:r>
        <w:rPr>
          <w:rFonts w:asciiTheme="majorHAnsi" w:hAnsiTheme="majorHAnsi" w:cstheme="majorHAnsi"/>
        </w:rPr>
        <w:t xml:space="preserve"> </w:t>
      </w:r>
      <w:r w:rsidRPr="00061E55">
        <w:rPr>
          <w:rFonts w:asciiTheme="majorHAnsi" w:hAnsiTheme="majorHAnsi" w:cstheme="majorHAnsi"/>
        </w:rPr>
        <w:t>la necesidad de combatir estereotipos y prácticas culturales que perpetúan la violencia,</w:t>
      </w:r>
      <w:r>
        <w:rPr>
          <w:rFonts w:asciiTheme="majorHAnsi" w:hAnsiTheme="majorHAnsi" w:cstheme="majorHAnsi"/>
        </w:rPr>
        <w:t xml:space="preserve"> </w:t>
      </w:r>
      <w:r w:rsidRPr="00061E55">
        <w:rPr>
          <w:rFonts w:asciiTheme="majorHAnsi" w:hAnsiTheme="majorHAnsi" w:cstheme="majorHAnsi"/>
        </w:rPr>
        <w:t xml:space="preserve">el reconocimiento del impacto sobre </w:t>
      </w:r>
      <w:r>
        <w:rPr>
          <w:rFonts w:asciiTheme="majorHAnsi" w:hAnsiTheme="majorHAnsi" w:cstheme="majorHAnsi"/>
        </w:rPr>
        <w:t xml:space="preserve">niños, niñas y </w:t>
      </w:r>
      <w:proofErr w:type="gramStart"/>
      <w:r>
        <w:rPr>
          <w:rFonts w:asciiTheme="majorHAnsi" w:hAnsiTheme="majorHAnsi" w:cstheme="majorHAnsi"/>
        </w:rPr>
        <w:t xml:space="preserve">adolescentes  </w:t>
      </w:r>
      <w:r w:rsidRPr="00061E55">
        <w:rPr>
          <w:rFonts w:asciiTheme="majorHAnsi" w:hAnsiTheme="majorHAnsi" w:cstheme="majorHAnsi"/>
        </w:rPr>
        <w:t>y</w:t>
      </w:r>
      <w:proofErr w:type="gramEnd"/>
      <w:r w:rsidRPr="00061E55">
        <w:rPr>
          <w:rFonts w:asciiTheme="majorHAnsi" w:hAnsiTheme="majorHAnsi" w:cstheme="majorHAnsi"/>
        </w:rPr>
        <w:t xml:space="preserve"> la obligación de garantizar una respuesta pública coherente y estructural.</w:t>
      </w:r>
    </w:p>
    <w:p w14:paraId="30DB1537" w14:textId="77777777" w:rsidR="00061E55" w:rsidRPr="00061E55" w:rsidRDefault="00061E55" w:rsidP="00061E55">
      <w:pPr>
        <w:pStyle w:val="NormalWeb"/>
        <w:jc w:val="both"/>
        <w:rPr>
          <w:rFonts w:asciiTheme="majorHAnsi" w:hAnsiTheme="majorHAnsi" w:cstheme="majorHAnsi"/>
        </w:rPr>
      </w:pPr>
      <w:r w:rsidRPr="00061E55">
        <w:rPr>
          <w:rFonts w:asciiTheme="majorHAnsi" w:hAnsiTheme="majorHAnsi" w:cstheme="majorHAnsi"/>
        </w:rPr>
        <w:t>La declaración de luto oficial se alinea con el espíritu y los objetivos de la Directiva, en cuanto constituye una medida institucional que refuerza la visibilidad del fenómeno, el reconocimiento público del daño y el compromiso estatal de erradicación.</w:t>
      </w:r>
    </w:p>
    <w:p w14:paraId="35B21274" w14:textId="77777777" w:rsidR="00061E55" w:rsidRDefault="00061E55" w:rsidP="00B81A2B">
      <w:pPr>
        <w:pStyle w:val="NormalWeb"/>
        <w:jc w:val="both"/>
        <w:rPr>
          <w:rFonts w:asciiTheme="majorHAnsi" w:hAnsiTheme="majorHAnsi" w:cstheme="majorHAnsi"/>
        </w:rPr>
      </w:pPr>
    </w:p>
    <w:p w14:paraId="007FDA8F" w14:textId="77777777" w:rsidR="00061E55" w:rsidRDefault="00061E55" w:rsidP="00B81A2B">
      <w:pPr>
        <w:pStyle w:val="NormalWeb"/>
        <w:jc w:val="both"/>
        <w:rPr>
          <w:rFonts w:asciiTheme="majorHAnsi" w:hAnsiTheme="majorHAnsi" w:cstheme="majorHAnsi"/>
        </w:rPr>
      </w:pPr>
    </w:p>
    <w:p w14:paraId="735909D0" w14:textId="77777777" w:rsidR="00061E55" w:rsidRDefault="00061E55" w:rsidP="00B81A2B">
      <w:pPr>
        <w:pStyle w:val="NormalWeb"/>
        <w:jc w:val="both"/>
        <w:rPr>
          <w:rFonts w:asciiTheme="majorHAnsi" w:hAnsiTheme="majorHAnsi" w:cstheme="majorHAnsi"/>
        </w:rPr>
      </w:pPr>
    </w:p>
    <w:p w14:paraId="0C7BC31C" w14:textId="43F04377" w:rsidR="00B81A2B" w:rsidRDefault="00B81A2B" w:rsidP="00B81A2B">
      <w:pPr>
        <w:pStyle w:val="NormalWeb"/>
        <w:jc w:val="both"/>
        <w:rPr>
          <w:rFonts w:asciiTheme="majorHAnsi" w:hAnsiTheme="majorHAnsi" w:cstheme="majorHAnsi"/>
        </w:rPr>
      </w:pPr>
      <w:r>
        <w:rPr>
          <w:rFonts w:asciiTheme="majorHAnsi" w:hAnsiTheme="majorHAnsi" w:cstheme="majorHAnsi"/>
          <w:noProof/>
          <w14:ligatures w14:val="standardContextual"/>
        </w:rPr>
        <mc:AlternateContent>
          <mc:Choice Requires="wps">
            <w:drawing>
              <wp:anchor distT="0" distB="0" distL="114300" distR="114300" simplePos="0" relativeHeight="251659264" behindDoc="0" locked="0" layoutInCell="1" allowOverlap="1" wp14:anchorId="5D903A35" wp14:editId="2E8ABC96">
                <wp:simplePos x="0" y="0"/>
                <wp:positionH relativeFrom="column">
                  <wp:posOffset>-76835</wp:posOffset>
                </wp:positionH>
                <wp:positionV relativeFrom="paragraph">
                  <wp:posOffset>183515</wp:posOffset>
                </wp:positionV>
                <wp:extent cx="5270500" cy="8375650"/>
                <wp:effectExtent l="0" t="0" r="12700" b="19050"/>
                <wp:wrapNone/>
                <wp:docPr id="1493228070" name="Cuadro de texto 3"/>
                <wp:cNvGraphicFramePr/>
                <a:graphic xmlns:a="http://schemas.openxmlformats.org/drawingml/2006/main">
                  <a:graphicData uri="http://schemas.microsoft.com/office/word/2010/wordprocessingShape">
                    <wps:wsp>
                      <wps:cNvSpPr txBox="1"/>
                      <wps:spPr>
                        <a:xfrm>
                          <a:off x="0" y="0"/>
                          <a:ext cx="5270500" cy="8375650"/>
                        </a:xfrm>
                        <a:prstGeom prst="rect">
                          <a:avLst/>
                        </a:prstGeom>
                        <a:solidFill>
                          <a:schemeClr val="accent1">
                            <a:lumMod val="60000"/>
                            <a:lumOff val="40000"/>
                          </a:schemeClr>
                        </a:solidFill>
                        <a:ln w="6350">
                          <a:solidFill>
                            <a:prstClr val="black"/>
                          </a:solidFill>
                        </a:ln>
                      </wps:spPr>
                      <wps:txbx>
                        <w:txbxContent>
                          <w:p w14:paraId="21BAD08F" w14:textId="77777777" w:rsidR="00B81A2B" w:rsidRPr="00061E55" w:rsidRDefault="00B81A2B" w:rsidP="00B81A2B">
                            <w:pPr>
                              <w:jc w:val="both"/>
                              <w:rPr>
                                <w:rFonts w:asciiTheme="majorHAnsi" w:eastAsia="Times New Roman" w:hAnsiTheme="majorHAnsi" w:cstheme="majorHAnsi"/>
                                <w:color w:val="FFFFFF" w:themeColor="background1"/>
                                <w:kern w:val="0"/>
                                <w:sz w:val="21"/>
                                <w:szCs w:val="21"/>
                                <w:lang w:eastAsia="es-ES_tradnl"/>
                                <w14:ligatures w14:val="none"/>
                              </w:rPr>
                            </w:pPr>
                            <w:r w:rsidRPr="00061E55">
                              <w:rPr>
                                <w:rFonts w:asciiTheme="majorHAnsi" w:eastAsia="Times New Roman" w:hAnsiTheme="majorHAnsi" w:cstheme="majorHAnsi"/>
                                <w:color w:val="FFFFFF" w:themeColor="background1"/>
                                <w:kern w:val="0"/>
                                <w:sz w:val="21"/>
                                <w:szCs w:val="21"/>
                                <w:lang w:eastAsia="es-ES_tradnl"/>
                                <w14:ligatures w14:val="none"/>
                              </w:rPr>
                              <w:t>La violencia contra las mujeres por razón de género constituye una de las manifestaciones más graves y persistentes de la desigualdad estructural entre mujeres y hombres. No se trata de una sucesión de hechos aislados ni de tragedias privadas: se trata de una violencia que, en su forma extrema, culmina en el asesinato de mujeres por parte de quienes son o han sido sus parejas o exparejas, y que en ocasiones se extiende también a niñas y niños como forma de violencia vicaria. Esta violencia provoca un dolor indecible en las víctimas, en sus seres queridos y en sus comunidades, pero también en el conjunto de la sociedad, porque cada asesinato por violencia de género constituye una quiebra del pacto democrático y una negación radical de derechos fundamentales.</w:t>
                            </w:r>
                          </w:p>
                          <w:p w14:paraId="16DFBE2A" w14:textId="77777777" w:rsidR="00B81A2B" w:rsidRPr="00061E55" w:rsidRDefault="00B81A2B" w:rsidP="00B81A2B">
                            <w:pPr>
                              <w:jc w:val="both"/>
                              <w:rPr>
                                <w:rFonts w:asciiTheme="majorHAnsi" w:eastAsia="Times New Roman" w:hAnsiTheme="majorHAnsi" w:cstheme="majorHAnsi"/>
                                <w:color w:val="FFFFFF" w:themeColor="background1"/>
                                <w:kern w:val="0"/>
                                <w:sz w:val="21"/>
                                <w:szCs w:val="21"/>
                                <w:lang w:eastAsia="es-ES_tradnl"/>
                                <w14:ligatures w14:val="none"/>
                              </w:rPr>
                            </w:pPr>
                            <w:r w:rsidRPr="00061E55">
                              <w:rPr>
                                <w:rFonts w:asciiTheme="majorHAnsi" w:eastAsia="Times New Roman" w:hAnsiTheme="majorHAnsi" w:cstheme="majorHAnsi"/>
                                <w:color w:val="FFFFFF" w:themeColor="background1"/>
                                <w:kern w:val="0"/>
                                <w:sz w:val="21"/>
                                <w:szCs w:val="21"/>
                                <w:lang w:eastAsia="es-ES_tradnl"/>
                                <w14:ligatures w14:val="none"/>
                              </w:rPr>
                              <w:t>Desde el enfoque del Derecho Internacional de los Derechos Humanos, la violencia de género es, en sí misma, una violación grave de derechos. La respuesta institucional ante estos asesinatos no puede agotarse en el plano penal, ni limitarse a la condena formal o al recuento estadístico. La obligación del Estado es más amplia: debe prevenir, proteger, investigar, sancionar y reparar. Y en esa reparación, la dimensión simbólica —el reconocimiento público del daño y la dignidad de las víctimas— no es un elemento accesorio, sino parte integrante de las garantías de no repetición y de la construcción de una cultura democrática de intolerancia frente a la violencia.</w:t>
                            </w:r>
                          </w:p>
                          <w:p w14:paraId="208F1E49" w14:textId="77777777" w:rsidR="00B81A2B" w:rsidRPr="00061E55" w:rsidRDefault="00B81A2B" w:rsidP="00B81A2B">
                            <w:pPr>
                              <w:jc w:val="both"/>
                              <w:rPr>
                                <w:rFonts w:asciiTheme="majorHAnsi" w:eastAsia="Times New Roman" w:hAnsiTheme="majorHAnsi" w:cstheme="majorHAnsi"/>
                                <w:color w:val="FFFFFF" w:themeColor="background1"/>
                                <w:kern w:val="0"/>
                                <w:sz w:val="21"/>
                                <w:szCs w:val="21"/>
                                <w:lang w:eastAsia="es-ES_tradnl"/>
                                <w14:ligatures w14:val="none"/>
                              </w:rPr>
                            </w:pPr>
                            <w:r w:rsidRPr="00061E55">
                              <w:rPr>
                                <w:rFonts w:asciiTheme="majorHAnsi" w:eastAsia="Times New Roman" w:hAnsiTheme="majorHAnsi" w:cstheme="majorHAnsi"/>
                                <w:color w:val="FFFFFF" w:themeColor="background1"/>
                                <w:kern w:val="0"/>
                                <w:sz w:val="21"/>
                                <w:szCs w:val="21"/>
                                <w:lang w:eastAsia="es-ES_tradnl"/>
                                <w14:ligatures w14:val="none"/>
                              </w:rPr>
                              <w:t>Este marco de obligaciones se encuentra sólidamente asentado en los compromisos internacionales asumidos por España. La Convención sobre la Eliminación de Todas las Formas de Discriminación contra la Mujer (CEDAW) obliga a los Estados Parte a condenar la discriminación contra las mujeres y a adoptar, por todos los medios apropiados, medidas dirigidas a eliminarla. La CEDAW no concibe la discriminación como un fenómeno meramente individual, sino como un sistema estructural que se reproduce a través de patrones sociales, culturales e institucionales. Por ello, impone a los Estados obligaciones no solo de reacción, sino de transformación. En particular, exige adoptar políticas que erradiquen los estereotipos y los prejuicios que sostienen la violencia, y que impiden que la sociedad perciba estos crímenes con la gravedad que merecen.</w:t>
                            </w:r>
                          </w:p>
                          <w:p w14:paraId="2D89A5DF" w14:textId="77777777" w:rsidR="00B81A2B" w:rsidRPr="00061E55" w:rsidRDefault="00B81A2B" w:rsidP="00B81A2B">
                            <w:pPr>
                              <w:jc w:val="both"/>
                              <w:rPr>
                                <w:rFonts w:asciiTheme="majorHAnsi" w:eastAsia="Times New Roman" w:hAnsiTheme="majorHAnsi" w:cstheme="majorHAnsi"/>
                                <w:color w:val="FFFFFF" w:themeColor="background1"/>
                                <w:kern w:val="0"/>
                                <w:sz w:val="21"/>
                                <w:szCs w:val="21"/>
                                <w:lang w:eastAsia="es-ES_tradnl"/>
                                <w14:ligatures w14:val="none"/>
                              </w:rPr>
                            </w:pPr>
                            <w:r w:rsidRPr="00061E55">
                              <w:rPr>
                                <w:rFonts w:asciiTheme="majorHAnsi" w:eastAsia="Times New Roman" w:hAnsiTheme="majorHAnsi" w:cstheme="majorHAnsi"/>
                                <w:color w:val="FFFFFF" w:themeColor="background1"/>
                                <w:kern w:val="0"/>
                                <w:sz w:val="21"/>
                                <w:szCs w:val="21"/>
                                <w:lang w:eastAsia="es-ES_tradnl"/>
                                <w14:ligatures w14:val="none"/>
                              </w:rPr>
                              <w:t>En esa misma línea, el Convenio de Estambul —instrumento central del Consejo de Europa para prevenir y combatir la violencia contra las mujeres— impone un enfoque integral. El Convenio obliga a los Estados a actuar con diligencia debida, y lo hace de forma expresa: el deber estatal no se limita a abstenerse de vulnerar derechos, sino que exige desplegar todas las medidas razonables para prevenir la violencia, proteger a las víctimas, investigar de manera efectiva y sancionar adecuadamente. Pero el Convenio va más allá: reconoce que la violencia de género solo puede erradicarse si se interviene también sobre su dimensión social y cultural. Por ello impone obligaciones específicas de prevención, de sensibilización y de promoción de cambios en los patrones de conducta que sostienen la desigualdad y la violencia.</w:t>
                            </w:r>
                          </w:p>
                          <w:p w14:paraId="5EA13C03" w14:textId="77777777" w:rsidR="00B81A2B" w:rsidRPr="00061E55" w:rsidRDefault="00B81A2B" w:rsidP="00B81A2B">
                            <w:pPr>
                              <w:rPr>
                                <w:rFonts w:asciiTheme="majorHAnsi" w:eastAsia="Times New Roman" w:hAnsiTheme="majorHAnsi" w:cstheme="majorHAnsi"/>
                                <w:color w:val="FFFFFF" w:themeColor="background1"/>
                                <w:kern w:val="0"/>
                                <w:sz w:val="21"/>
                                <w:szCs w:val="21"/>
                                <w:lang w:eastAsia="es-ES_tradnl"/>
                                <w14:ligatures w14:val="none"/>
                              </w:rPr>
                            </w:pPr>
                            <w:r w:rsidRPr="00061E55">
                              <w:rPr>
                                <w:rFonts w:asciiTheme="majorHAnsi" w:eastAsia="Times New Roman" w:hAnsiTheme="majorHAnsi" w:cstheme="majorHAnsi"/>
                                <w:color w:val="FFFFFF" w:themeColor="background1"/>
                                <w:kern w:val="0"/>
                                <w:sz w:val="21"/>
                                <w:szCs w:val="21"/>
                                <w:lang w:eastAsia="es-ES_tradnl"/>
                                <w14:ligatures w14:val="none"/>
                              </w:rPr>
                              <w:t>En este punto, la declaración de luto oficial por cada asesinato por violencia de género adquiere una relevancia jurídica y democrática clara. No se trata de una medida ornamental. Se trata de una decisión institucional que cumple una función concreta en el sistema de obligaciones de prevención: visibiliza, reconoce, desnormaliza. Declara públicamente que no se está ante un suceso privado, sino ante una violación grave de derechos humanos. Y permite, además, que la sociedad manifieste colectivamente su dolor, su rechazo y su compromiso, consolidando un duelo unitario que refuerza los vínculos sociales y la cohesión democrática.</w:t>
                            </w:r>
                          </w:p>
                          <w:p w14:paraId="162D1CA1" w14:textId="77777777" w:rsidR="00B81A2B" w:rsidRPr="00061E55" w:rsidRDefault="00B81A2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903A35" id="_x0000_t202" coordsize="21600,21600" o:spt="202" path="m,l,21600r21600,l21600,xe">
                <v:stroke joinstyle="miter"/>
                <v:path gradientshapeok="t" o:connecttype="rect"/>
              </v:shapetype>
              <v:shape id="Cuadro de texto 3" o:spid="_x0000_s1026" type="#_x0000_t202" style="position:absolute;left:0;text-align:left;margin-left:-6.05pt;margin-top:14.45pt;width:415pt;height:6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" fillcolor="#8eaadb [1940]" strokeweight=".5pt">
                <v:textbox>
                  <w:txbxContent>
                    <w:p w14:paraId="21BAD08F" w14:textId="77777777" w:rsidR="00B81A2B" w:rsidRPr="00061E55" w:rsidRDefault="00B81A2B" w:rsidP="00B81A2B">
                      <w:pPr>
                        <w:jc w:val="both"/>
                        <w:rPr>
                          <w:rFonts w:asciiTheme="majorHAnsi" w:eastAsia="Times New Roman" w:hAnsiTheme="majorHAnsi" w:cstheme="majorHAnsi"/>
                          <w:color w:val="FFFFFF" w:themeColor="background1"/>
                          <w:kern w:val="0"/>
                          <w:sz w:val="21"/>
                          <w:szCs w:val="21"/>
                          <w:lang w:eastAsia="es-ES_tradnl"/>
                          <w14:ligatures w14:val="none"/>
                        </w:rPr>
                      </w:pPr>
                      <w:r w:rsidRPr="00061E55">
                        <w:rPr>
                          <w:rFonts w:asciiTheme="majorHAnsi" w:eastAsia="Times New Roman" w:hAnsiTheme="majorHAnsi" w:cstheme="majorHAnsi"/>
                          <w:color w:val="FFFFFF" w:themeColor="background1"/>
                          <w:kern w:val="0"/>
                          <w:sz w:val="21"/>
                          <w:szCs w:val="21"/>
                          <w:lang w:eastAsia="es-ES_tradnl"/>
                          <w14:ligatures w14:val="none"/>
                        </w:rPr>
                        <w:t>La violencia contra las mujeres por razón de género constituye una de las manifestaciones más graves y persistentes de la desigualdad estructural entre mujeres y hombres. No se trata de una sucesión de hechos aislados ni de tragedias privadas: se trata de una violencia que, en su forma extrema, culmina en el asesinato de mujeres por parte de quienes son o han sido sus parejas o exparejas, y que en ocasiones se extiende también a niñas y niños como forma de violencia vicaria. Esta violencia provoca un dolor indecible en las víctimas, en sus seres queridos y en sus comunidades, pero también en el conjunto de la sociedad, porque cada asesinato por violencia de género constituye una quiebra del pacto democrático y una negación radical de derechos fundamentales.</w:t>
                      </w:r>
                    </w:p>
                    <w:p w14:paraId="16DFBE2A" w14:textId="77777777" w:rsidR="00B81A2B" w:rsidRPr="00061E55" w:rsidRDefault="00B81A2B" w:rsidP="00B81A2B">
                      <w:pPr>
                        <w:jc w:val="both"/>
                        <w:rPr>
                          <w:rFonts w:asciiTheme="majorHAnsi" w:eastAsia="Times New Roman" w:hAnsiTheme="majorHAnsi" w:cstheme="majorHAnsi"/>
                          <w:color w:val="FFFFFF" w:themeColor="background1"/>
                          <w:kern w:val="0"/>
                          <w:sz w:val="21"/>
                          <w:szCs w:val="21"/>
                          <w:lang w:eastAsia="es-ES_tradnl"/>
                          <w14:ligatures w14:val="none"/>
                        </w:rPr>
                      </w:pPr>
                      <w:r w:rsidRPr="00061E55">
                        <w:rPr>
                          <w:rFonts w:asciiTheme="majorHAnsi" w:eastAsia="Times New Roman" w:hAnsiTheme="majorHAnsi" w:cstheme="majorHAnsi"/>
                          <w:color w:val="FFFFFF" w:themeColor="background1"/>
                          <w:kern w:val="0"/>
                          <w:sz w:val="21"/>
                          <w:szCs w:val="21"/>
                          <w:lang w:eastAsia="es-ES_tradnl"/>
                          <w14:ligatures w14:val="none"/>
                        </w:rPr>
                        <w:t>Desde el enfoque del Derecho Internacional de los Derechos Humanos, la violencia de género es, en sí misma, una violación grave de derechos. La respuesta institucional ante estos asesinatos no puede agotarse en el plano penal, ni limitarse a la condena formal o al recuento estadístico. La obligación del Estado es más amplia: debe prevenir, proteger, investigar, sancionar y reparar. Y en esa reparación, la dimensión simbólica —el reconocimiento público del daño y la dignidad de las víctimas— no es un elemento accesorio, sino parte integrante de las garantías de no repetición y de la construcción de una cultura democrática de intolerancia frente a la violencia.</w:t>
                      </w:r>
                    </w:p>
                    <w:p w14:paraId="208F1E49" w14:textId="77777777" w:rsidR="00B81A2B" w:rsidRPr="00061E55" w:rsidRDefault="00B81A2B" w:rsidP="00B81A2B">
                      <w:pPr>
                        <w:jc w:val="both"/>
                        <w:rPr>
                          <w:rFonts w:asciiTheme="majorHAnsi" w:eastAsia="Times New Roman" w:hAnsiTheme="majorHAnsi" w:cstheme="majorHAnsi"/>
                          <w:color w:val="FFFFFF" w:themeColor="background1"/>
                          <w:kern w:val="0"/>
                          <w:sz w:val="21"/>
                          <w:szCs w:val="21"/>
                          <w:lang w:eastAsia="es-ES_tradnl"/>
                          <w14:ligatures w14:val="none"/>
                        </w:rPr>
                      </w:pPr>
                      <w:r w:rsidRPr="00061E55">
                        <w:rPr>
                          <w:rFonts w:asciiTheme="majorHAnsi" w:eastAsia="Times New Roman" w:hAnsiTheme="majorHAnsi" w:cstheme="majorHAnsi"/>
                          <w:color w:val="FFFFFF" w:themeColor="background1"/>
                          <w:kern w:val="0"/>
                          <w:sz w:val="21"/>
                          <w:szCs w:val="21"/>
                          <w:lang w:eastAsia="es-ES_tradnl"/>
                          <w14:ligatures w14:val="none"/>
                        </w:rPr>
                        <w:t>Este marco de obligaciones se encuentra sólidamente asentado en los compromisos internacionales asumidos por España. La Convención sobre la Eliminación de Todas las Formas de Discriminación contra la Mujer (CEDAW) obliga a los Estados Parte a condenar la discriminación contra las mujeres y a adoptar, por todos los medios apropiados, medidas dirigidas a eliminarla. La CEDAW no concibe la discriminación como un fenómeno meramente individual, sino como un sistema estructural que se reproduce a través de patrones sociales, culturales e institucionales. Por ello, impone a los Estados obligaciones no solo de reacción, sino de transformación. En particular, exige adoptar políticas que erradiquen los estereotipos y los prejuicios que sostienen la violencia, y que impiden que la sociedad perciba estos crímenes con la gravedad que merecen.</w:t>
                      </w:r>
                    </w:p>
                    <w:p w14:paraId="2D89A5DF" w14:textId="77777777" w:rsidR="00B81A2B" w:rsidRPr="00061E55" w:rsidRDefault="00B81A2B" w:rsidP="00B81A2B">
                      <w:pPr>
                        <w:jc w:val="both"/>
                        <w:rPr>
                          <w:rFonts w:asciiTheme="majorHAnsi" w:eastAsia="Times New Roman" w:hAnsiTheme="majorHAnsi" w:cstheme="majorHAnsi"/>
                          <w:color w:val="FFFFFF" w:themeColor="background1"/>
                          <w:kern w:val="0"/>
                          <w:sz w:val="21"/>
                          <w:szCs w:val="21"/>
                          <w:lang w:eastAsia="es-ES_tradnl"/>
                          <w14:ligatures w14:val="none"/>
                        </w:rPr>
                      </w:pPr>
                      <w:r w:rsidRPr="00061E55">
                        <w:rPr>
                          <w:rFonts w:asciiTheme="majorHAnsi" w:eastAsia="Times New Roman" w:hAnsiTheme="majorHAnsi" w:cstheme="majorHAnsi"/>
                          <w:color w:val="FFFFFF" w:themeColor="background1"/>
                          <w:kern w:val="0"/>
                          <w:sz w:val="21"/>
                          <w:szCs w:val="21"/>
                          <w:lang w:eastAsia="es-ES_tradnl"/>
                          <w14:ligatures w14:val="none"/>
                        </w:rPr>
                        <w:t>En esa misma línea, el Convenio de Estambul —instrumento central del Consejo de Europa para prevenir y combatir la violencia contra las mujeres— impone un enfoque integral. El Convenio obliga a los Estados a actuar con diligencia debida, y lo hace de forma expresa: el deber estatal no se limita a abstenerse de vulnerar derechos, sino que exige desplegar todas las medidas razonables para prevenir la violencia, proteger a las víctimas, investigar de manera efectiva y sancionar adecuadamente. Pero el Convenio va más allá: reconoce que la violencia de género solo puede erradicarse si se interviene también sobre su dimensión social y cultural. Por ello impone obligaciones específicas de prevención, de sensibilización y de promoción de cambios en los patrones de conducta que sostienen la desigualdad y la violencia.</w:t>
                      </w:r>
                    </w:p>
                    <w:p w14:paraId="5EA13C03" w14:textId="77777777" w:rsidR="00B81A2B" w:rsidRPr="00061E55" w:rsidRDefault="00B81A2B" w:rsidP="00B81A2B">
                      <w:pPr>
                        <w:rPr>
                          <w:rFonts w:asciiTheme="majorHAnsi" w:eastAsia="Times New Roman" w:hAnsiTheme="majorHAnsi" w:cstheme="majorHAnsi"/>
                          <w:color w:val="FFFFFF" w:themeColor="background1"/>
                          <w:kern w:val="0"/>
                          <w:sz w:val="21"/>
                          <w:szCs w:val="21"/>
                          <w:lang w:eastAsia="es-ES_tradnl"/>
                          <w14:ligatures w14:val="none"/>
                        </w:rPr>
                      </w:pPr>
                      <w:r w:rsidRPr="00061E55">
                        <w:rPr>
                          <w:rFonts w:asciiTheme="majorHAnsi" w:eastAsia="Times New Roman" w:hAnsiTheme="majorHAnsi" w:cstheme="majorHAnsi"/>
                          <w:color w:val="FFFFFF" w:themeColor="background1"/>
                          <w:kern w:val="0"/>
                          <w:sz w:val="21"/>
                          <w:szCs w:val="21"/>
                          <w:lang w:eastAsia="es-ES_tradnl"/>
                          <w14:ligatures w14:val="none"/>
                        </w:rPr>
                        <w:t>En este punto, la declaración de luto oficial por cada asesinato por violencia de género adquiere una relevancia jurídica y democrática clara. No se trata de una medida ornamental. Se trata de una decisión institucional que cumple una función concreta en el sistema de obligaciones de prevención: visibiliza, reconoce, desnormaliza. Declara públicamente que no se está ante un suceso privado, sino ante una violación grave de derechos humanos. Y permite, además, que la sociedad manifieste colectivamente su dolor, su rechazo y su compromiso, consolidando un duelo unitario que refuerza los vínculos sociales y la cohesión democrática.</w:t>
                      </w:r>
                    </w:p>
                    <w:p w14:paraId="162D1CA1" w14:textId="77777777" w:rsidR="00B81A2B" w:rsidRPr="00061E55" w:rsidRDefault="00B81A2B">
                      <w:pPr>
                        <w:rPr>
                          <w:color w:val="FFFFFF" w:themeColor="background1"/>
                        </w:rPr>
                      </w:pPr>
                    </w:p>
                  </w:txbxContent>
                </v:textbox>
              </v:shape>
            </w:pict>
          </mc:Fallback>
        </mc:AlternateContent>
      </w:r>
    </w:p>
    <w:p w14:paraId="1D21CA31" w14:textId="7FD3A166" w:rsidR="00B81A2B" w:rsidRDefault="00B81A2B" w:rsidP="00B81A2B">
      <w:pPr>
        <w:pStyle w:val="NormalWeb"/>
        <w:jc w:val="both"/>
        <w:rPr>
          <w:rFonts w:asciiTheme="majorHAnsi" w:hAnsiTheme="majorHAnsi" w:cstheme="majorHAnsi"/>
        </w:rPr>
      </w:pPr>
    </w:p>
    <w:p w14:paraId="75D8A0DE" w14:textId="77777777" w:rsidR="00B81A2B" w:rsidRDefault="00B81A2B" w:rsidP="00B81A2B">
      <w:pPr>
        <w:pStyle w:val="NormalWeb"/>
        <w:jc w:val="both"/>
        <w:rPr>
          <w:rFonts w:asciiTheme="majorHAnsi" w:hAnsiTheme="majorHAnsi" w:cstheme="majorHAnsi"/>
        </w:rPr>
      </w:pPr>
    </w:p>
    <w:p w14:paraId="7CDE9FB4" w14:textId="77777777" w:rsidR="00B81A2B" w:rsidRPr="00F26809" w:rsidRDefault="00B81A2B" w:rsidP="00B81A2B">
      <w:pPr>
        <w:pStyle w:val="NormalWeb"/>
        <w:jc w:val="both"/>
        <w:rPr>
          <w:rFonts w:asciiTheme="majorHAnsi" w:hAnsiTheme="majorHAnsi" w:cstheme="majorHAnsi"/>
        </w:rPr>
      </w:pPr>
    </w:p>
    <w:p w14:paraId="36710128" w14:textId="2F702132" w:rsidR="00F26809" w:rsidRDefault="00F26809" w:rsidP="00443FF1">
      <w:pPr>
        <w:jc w:val="both"/>
        <w:rPr>
          <w:rFonts w:asciiTheme="majorHAnsi" w:hAnsiTheme="majorHAnsi" w:cstheme="majorHAnsi"/>
        </w:rPr>
      </w:pPr>
    </w:p>
    <w:p w14:paraId="63D9AE77" w14:textId="77777777" w:rsidR="00B81A2B" w:rsidRDefault="00B81A2B" w:rsidP="00443FF1">
      <w:pPr>
        <w:jc w:val="both"/>
        <w:rPr>
          <w:rFonts w:asciiTheme="majorHAnsi" w:hAnsiTheme="majorHAnsi" w:cstheme="majorHAnsi"/>
        </w:rPr>
      </w:pPr>
    </w:p>
    <w:p w14:paraId="6DF21B0C" w14:textId="77777777" w:rsidR="00B81A2B" w:rsidRDefault="00B81A2B" w:rsidP="00443FF1">
      <w:pPr>
        <w:jc w:val="both"/>
        <w:rPr>
          <w:rFonts w:asciiTheme="majorHAnsi" w:hAnsiTheme="majorHAnsi" w:cstheme="majorHAnsi"/>
        </w:rPr>
      </w:pPr>
    </w:p>
    <w:p w14:paraId="551ED419" w14:textId="77777777" w:rsidR="00B81A2B" w:rsidRDefault="00B81A2B" w:rsidP="00443FF1">
      <w:pPr>
        <w:jc w:val="both"/>
        <w:rPr>
          <w:rFonts w:asciiTheme="majorHAnsi" w:hAnsiTheme="majorHAnsi" w:cstheme="majorHAnsi"/>
        </w:rPr>
      </w:pPr>
    </w:p>
    <w:p w14:paraId="2A3ADE83" w14:textId="77777777" w:rsidR="00B81A2B" w:rsidRDefault="00B81A2B" w:rsidP="00443FF1">
      <w:pPr>
        <w:jc w:val="both"/>
        <w:rPr>
          <w:rFonts w:asciiTheme="majorHAnsi" w:hAnsiTheme="majorHAnsi" w:cstheme="majorHAnsi"/>
        </w:rPr>
      </w:pPr>
    </w:p>
    <w:p w14:paraId="05CC2759" w14:textId="77777777" w:rsidR="00B81A2B" w:rsidRDefault="00B81A2B" w:rsidP="00443FF1">
      <w:pPr>
        <w:jc w:val="both"/>
        <w:rPr>
          <w:rFonts w:asciiTheme="majorHAnsi" w:hAnsiTheme="majorHAnsi" w:cstheme="majorHAnsi"/>
        </w:rPr>
      </w:pPr>
    </w:p>
    <w:p w14:paraId="2F1B45BC" w14:textId="77777777" w:rsidR="00B81A2B" w:rsidRDefault="00B81A2B" w:rsidP="00443FF1">
      <w:pPr>
        <w:jc w:val="both"/>
        <w:rPr>
          <w:rFonts w:asciiTheme="majorHAnsi" w:hAnsiTheme="majorHAnsi" w:cstheme="majorHAnsi"/>
        </w:rPr>
      </w:pPr>
    </w:p>
    <w:p w14:paraId="2948AA9D" w14:textId="77777777" w:rsidR="00B81A2B" w:rsidRDefault="00B81A2B" w:rsidP="00443FF1">
      <w:pPr>
        <w:jc w:val="both"/>
        <w:rPr>
          <w:rFonts w:asciiTheme="majorHAnsi" w:hAnsiTheme="majorHAnsi" w:cstheme="majorHAnsi"/>
        </w:rPr>
      </w:pPr>
    </w:p>
    <w:p w14:paraId="3F6EE880" w14:textId="77777777" w:rsidR="00B81A2B" w:rsidRDefault="00B81A2B" w:rsidP="00443FF1">
      <w:pPr>
        <w:jc w:val="both"/>
        <w:rPr>
          <w:rFonts w:asciiTheme="majorHAnsi" w:hAnsiTheme="majorHAnsi" w:cstheme="majorHAnsi"/>
        </w:rPr>
      </w:pPr>
    </w:p>
    <w:p w14:paraId="7EC1A5D8" w14:textId="77777777" w:rsidR="00B81A2B" w:rsidRDefault="00B81A2B" w:rsidP="00443FF1">
      <w:pPr>
        <w:jc w:val="both"/>
        <w:rPr>
          <w:rFonts w:asciiTheme="majorHAnsi" w:hAnsiTheme="majorHAnsi" w:cstheme="majorHAnsi"/>
        </w:rPr>
      </w:pPr>
    </w:p>
    <w:p w14:paraId="4B6EEDE4" w14:textId="77777777" w:rsidR="00B81A2B" w:rsidRDefault="00B81A2B" w:rsidP="00443FF1">
      <w:pPr>
        <w:jc w:val="both"/>
        <w:rPr>
          <w:rFonts w:asciiTheme="majorHAnsi" w:hAnsiTheme="majorHAnsi" w:cstheme="majorHAnsi"/>
        </w:rPr>
      </w:pPr>
    </w:p>
    <w:p w14:paraId="67A79D82" w14:textId="77777777" w:rsidR="00B81A2B" w:rsidRDefault="00B81A2B" w:rsidP="00443FF1">
      <w:pPr>
        <w:jc w:val="both"/>
        <w:rPr>
          <w:rFonts w:asciiTheme="majorHAnsi" w:hAnsiTheme="majorHAnsi" w:cstheme="majorHAnsi"/>
        </w:rPr>
      </w:pPr>
    </w:p>
    <w:p w14:paraId="0859B38E" w14:textId="77777777" w:rsidR="00B81A2B" w:rsidRDefault="00B81A2B" w:rsidP="00443FF1">
      <w:pPr>
        <w:jc w:val="both"/>
        <w:rPr>
          <w:rFonts w:asciiTheme="majorHAnsi" w:hAnsiTheme="majorHAnsi" w:cstheme="majorHAnsi"/>
        </w:rPr>
      </w:pPr>
    </w:p>
    <w:p w14:paraId="58D8D37B" w14:textId="77777777" w:rsidR="00B81A2B" w:rsidRDefault="00B81A2B" w:rsidP="00443FF1">
      <w:pPr>
        <w:jc w:val="both"/>
        <w:rPr>
          <w:rFonts w:asciiTheme="majorHAnsi" w:hAnsiTheme="majorHAnsi" w:cstheme="majorHAnsi"/>
        </w:rPr>
      </w:pPr>
    </w:p>
    <w:p w14:paraId="5D9474F4" w14:textId="77777777" w:rsidR="00B81A2B" w:rsidRDefault="00B81A2B" w:rsidP="00443FF1">
      <w:pPr>
        <w:jc w:val="both"/>
        <w:rPr>
          <w:rFonts w:asciiTheme="majorHAnsi" w:hAnsiTheme="majorHAnsi" w:cstheme="majorHAnsi"/>
        </w:rPr>
      </w:pPr>
    </w:p>
    <w:p w14:paraId="72F0401C" w14:textId="77777777" w:rsidR="00B81A2B" w:rsidRDefault="00B81A2B" w:rsidP="00443FF1">
      <w:pPr>
        <w:jc w:val="both"/>
        <w:rPr>
          <w:rFonts w:asciiTheme="majorHAnsi" w:hAnsiTheme="majorHAnsi" w:cstheme="majorHAnsi"/>
        </w:rPr>
      </w:pPr>
    </w:p>
    <w:p w14:paraId="58D9FEF4" w14:textId="77777777" w:rsidR="00B81A2B" w:rsidRDefault="00B81A2B" w:rsidP="00443FF1">
      <w:pPr>
        <w:jc w:val="both"/>
        <w:rPr>
          <w:rFonts w:asciiTheme="majorHAnsi" w:hAnsiTheme="majorHAnsi" w:cstheme="majorHAnsi"/>
        </w:rPr>
      </w:pPr>
    </w:p>
    <w:p w14:paraId="07A28EAE" w14:textId="77777777" w:rsidR="00B81A2B" w:rsidRDefault="00B81A2B" w:rsidP="00443FF1">
      <w:pPr>
        <w:jc w:val="both"/>
        <w:rPr>
          <w:rFonts w:asciiTheme="majorHAnsi" w:hAnsiTheme="majorHAnsi" w:cstheme="majorHAnsi"/>
        </w:rPr>
      </w:pPr>
    </w:p>
    <w:p w14:paraId="2ABFD8A4" w14:textId="77777777" w:rsidR="00B81A2B" w:rsidRPr="00F26809" w:rsidRDefault="00B81A2B" w:rsidP="00443FF1">
      <w:pPr>
        <w:jc w:val="both"/>
        <w:rPr>
          <w:rFonts w:asciiTheme="majorHAnsi" w:hAnsiTheme="majorHAnsi" w:cstheme="majorHAnsi"/>
        </w:rPr>
      </w:pPr>
    </w:p>
    <w:p w14:paraId="617E3820" w14:textId="5DB9D843" w:rsidR="00B81A2B" w:rsidRDefault="00B81A2B" w:rsidP="00443FF1">
      <w:pPr>
        <w:pStyle w:val="Ttulo2"/>
        <w:jc w:val="both"/>
        <w:rPr>
          <w:rFonts w:cstheme="majorHAnsi"/>
        </w:rPr>
      </w:pPr>
      <w:r>
        <w:rPr>
          <w:rFonts w:cstheme="majorHAnsi"/>
          <w:noProof/>
        </w:rPr>
        <w:lastRenderedPageBreak/>
        <mc:AlternateContent>
          <mc:Choice Requires="wps">
            <w:drawing>
              <wp:anchor distT="0" distB="0" distL="114300" distR="114300" simplePos="0" relativeHeight="251660288" behindDoc="0" locked="0" layoutInCell="1" allowOverlap="1" wp14:anchorId="3DAA6698" wp14:editId="21FEC289">
                <wp:simplePos x="0" y="0"/>
                <wp:positionH relativeFrom="column">
                  <wp:posOffset>-70485</wp:posOffset>
                </wp:positionH>
                <wp:positionV relativeFrom="paragraph">
                  <wp:posOffset>-95885</wp:posOffset>
                </wp:positionV>
                <wp:extent cx="5289550" cy="5276850"/>
                <wp:effectExtent l="0" t="0" r="19050" b="19050"/>
                <wp:wrapNone/>
                <wp:docPr id="1676437541" name="Cuadro de texto 4"/>
                <wp:cNvGraphicFramePr/>
                <a:graphic xmlns:a="http://schemas.openxmlformats.org/drawingml/2006/main">
                  <a:graphicData uri="http://schemas.microsoft.com/office/word/2010/wordprocessingShape">
                    <wps:wsp>
                      <wps:cNvSpPr txBox="1"/>
                      <wps:spPr>
                        <a:xfrm>
                          <a:off x="0" y="0"/>
                          <a:ext cx="5289550" cy="5276850"/>
                        </a:xfrm>
                        <a:prstGeom prst="rect">
                          <a:avLst/>
                        </a:prstGeom>
                        <a:solidFill>
                          <a:schemeClr val="accent1">
                            <a:lumMod val="60000"/>
                            <a:lumOff val="40000"/>
                          </a:schemeClr>
                        </a:solidFill>
                        <a:ln w="6350">
                          <a:solidFill>
                            <a:prstClr val="black"/>
                          </a:solidFill>
                        </a:ln>
                      </wps:spPr>
                      <wps:txbx>
                        <w:txbxContent>
                          <w:p w14:paraId="74C81A11" w14:textId="77777777" w:rsidR="00B81A2B" w:rsidRPr="00061E55" w:rsidRDefault="00B81A2B" w:rsidP="00B81A2B">
                            <w:pPr>
                              <w:pStyle w:val="NormalWeb"/>
                              <w:jc w:val="both"/>
                              <w:rPr>
                                <w:rFonts w:asciiTheme="majorHAnsi" w:hAnsiTheme="majorHAnsi" w:cstheme="majorHAnsi"/>
                                <w:color w:val="FFFFFF" w:themeColor="background1"/>
                                <w:sz w:val="21"/>
                                <w:szCs w:val="21"/>
                              </w:rPr>
                            </w:pPr>
                            <w:r w:rsidRPr="00B81A2B">
                              <w:rPr>
                                <w:rFonts w:asciiTheme="majorHAnsi" w:hAnsiTheme="majorHAnsi" w:cstheme="majorHAnsi"/>
                                <w:sz w:val="21"/>
                                <w:szCs w:val="21"/>
                              </w:rPr>
                              <w:t>L</w:t>
                            </w:r>
                            <w:r w:rsidRPr="00061E55">
                              <w:rPr>
                                <w:rFonts w:asciiTheme="majorHAnsi" w:hAnsiTheme="majorHAnsi" w:cstheme="majorHAnsi"/>
                                <w:color w:val="FFFFFF" w:themeColor="background1"/>
                                <w:sz w:val="21"/>
                                <w:szCs w:val="21"/>
                              </w:rPr>
                              <w:t xml:space="preserve">a jurisprudencia del Tribunal Europeo de Derechos Humanos refuerza esta comprensión. El Tribunal ha construido, en los últimos años, una doctrina consolidada según la cual la violencia doméstica y la violencia de género comprometen directamente las obligaciones positivas del Estado derivadas del Convenio Europeo de Derechos Humanos. En esta jurisprudencia, el Tribunal ha reiterado que la inacción, la respuesta insuficiente o la tolerancia institucional frente a la violencia de género pueden constituir una vulneración del derecho a la vida y del derecho a no sufrir tratos inhumanos o degradantes, así como una forma de discriminación. El caso </w:t>
                            </w:r>
                            <w:r w:rsidRPr="00061E55">
                              <w:rPr>
                                <w:rFonts w:asciiTheme="majorHAnsi" w:hAnsiTheme="majorHAnsi" w:cstheme="majorHAnsi"/>
                                <w:color w:val="FFFFFF" w:themeColor="background1"/>
                                <w:sz w:val="21"/>
                                <w:szCs w:val="21"/>
                              </w:rPr>
                              <w:t>Opuz contra Turquía, convertido en referencia esencial, marcó un punto de inflexión: el Tribunal dejó claro que cuando las autoridades fallan en adoptar medidas eficaces frente a una violencia reiterada, el Estado no puede refugiarse en la idea de que se trata de conflictos privados. La violencia de género exige una respuesta pública, seria, diligente y libre de estereotipos.</w:t>
                            </w:r>
                          </w:p>
                          <w:p w14:paraId="3B9CEAF9" w14:textId="77777777" w:rsidR="00B81A2B" w:rsidRPr="00061E55" w:rsidRDefault="00B81A2B" w:rsidP="00B81A2B">
                            <w:pPr>
                              <w:pStyle w:val="NormalWeb"/>
                              <w:jc w:val="both"/>
                              <w:rPr>
                                <w:rFonts w:asciiTheme="majorHAnsi" w:hAnsiTheme="majorHAnsi" w:cstheme="majorHAnsi"/>
                                <w:color w:val="FFFFFF" w:themeColor="background1"/>
                                <w:sz w:val="21"/>
                                <w:szCs w:val="21"/>
                              </w:rPr>
                            </w:pPr>
                            <w:r w:rsidRPr="00061E55">
                              <w:rPr>
                                <w:rFonts w:asciiTheme="majorHAnsi" w:hAnsiTheme="majorHAnsi" w:cstheme="majorHAnsi"/>
                                <w:color w:val="FFFFFF" w:themeColor="background1"/>
                                <w:sz w:val="21"/>
                                <w:szCs w:val="21"/>
                              </w:rPr>
                              <w:t>Esa línea se ha mantenido en resoluciones posteriores como Eremia contra Moldavia, Talpis contra Italia o Volodina contra Rusia, donde el Tribunal ha insistido en que la violencia doméstica es una forma de violencia que afecta a derechos fundamentales, y que su tratamiento institucional no puede estar marcado por la minimización, la pasividad o la normalización. Más recientemente, en Kurt contra Austria, el Tribunal precisó con detalle las obligaciones de prevención y protección, subrayando la necesidad de que los Estados adopten medidas efectivas y rápidas ante el riesgo. En conjunto, esta jurisprudencia confirma una idea esencial: la respuesta estatal debe ser integral, estructural y visible. La violencia de género no admite respuestas ambiguas.</w:t>
                            </w:r>
                          </w:p>
                          <w:p w14:paraId="0DEF2DF3" w14:textId="77777777" w:rsidR="00B81A2B" w:rsidRPr="00061E55" w:rsidRDefault="00B81A2B" w:rsidP="00B81A2B">
                            <w:pPr>
                              <w:pStyle w:val="NormalWeb"/>
                              <w:jc w:val="both"/>
                              <w:rPr>
                                <w:rFonts w:asciiTheme="majorHAnsi" w:hAnsiTheme="majorHAnsi" w:cstheme="majorHAnsi"/>
                                <w:color w:val="FFFFFF" w:themeColor="background1"/>
                                <w:sz w:val="21"/>
                                <w:szCs w:val="21"/>
                              </w:rPr>
                            </w:pPr>
                            <w:r w:rsidRPr="00061E55">
                              <w:rPr>
                                <w:rFonts w:asciiTheme="majorHAnsi" w:hAnsiTheme="majorHAnsi" w:cstheme="majorHAnsi"/>
                                <w:color w:val="FFFFFF" w:themeColor="background1"/>
                                <w:sz w:val="21"/>
                                <w:szCs w:val="21"/>
                              </w:rPr>
                              <w:t>En este contexto, la declaración de luto oficial se integra con naturalidad en el estándar europeo de diligencia debida. La diligencia debida no es solo un deber de intervención policial o judicial. También es un deber de construir un entorno institucional y social que reduzca el riesgo, refuerce el rechazo, y contribuya a transformar las condiciones que permiten que esta violencia persista. El luto oficial es, precisamente, una medida institucional que expresa un mensaje inequívoco: cada asesinato por violencia de género es una tragedia pública, una herida democrática, una violación grave de derechos humanos que merece un reconocimiento solemne.</w:t>
                            </w:r>
                          </w:p>
                          <w:p w14:paraId="0EDE84B0" w14:textId="77777777" w:rsidR="00B81A2B" w:rsidRDefault="00B81A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AA6698" id="Cuadro de texto 4" o:spid="_x0000_s1027" type="#_x0000_t202" style="position:absolute;left:0;text-align:left;margin-left:-5.55pt;margin-top:-7.55pt;width:416.5pt;height:41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" fillcolor="#8eaadb [1940]" strokeweight=".5pt">
                <v:textbox>
                  <w:txbxContent>
                    <w:p w14:paraId="74C81A11" w14:textId="77777777" w:rsidR="00B81A2B" w:rsidRPr="00061E55" w:rsidRDefault="00B81A2B" w:rsidP="00B81A2B">
                      <w:pPr>
                        <w:pStyle w:val="NormalWeb"/>
                        <w:jc w:val="both"/>
                        <w:rPr>
                          <w:rFonts w:asciiTheme="majorHAnsi" w:hAnsiTheme="majorHAnsi" w:cstheme="majorHAnsi"/>
                          <w:color w:val="FFFFFF" w:themeColor="background1"/>
                          <w:sz w:val="21"/>
                          <w:szCs w:val="21"/>
                        </w:rPr>
                      </w:pPr>
                      <w:r w:rsidRPr="00B81A2B">
                        <w:rPr>
                          <w:rFonts w:asciiTheme="majorHAnsi" w:hAnsiTheme="majorHAnsi" w:cstheme="majorHAnsi"/>
                          <w:sz w:val="21"/>
                          <w:szCs w:val="21"/>
                        </w:rPr>
                        <w:t>L</w:t>
                      </w:r>
                      <w:r w:rsidRPr="00061E55">
                        <w:rPr>
                          <w:rFonts w:asciiTheme="majorHAnsi" w:hAnsiTheme="majorHAnsi" w:cstheme="majorHAnsi"/>
                          <w:color w:val="FFFFFF" w:themeColor="background1"/>
                          <w:sz w:val="21"/>
                          <w:szCs w:val="21"/>
                        </w:rPr>
                        <w:t xml:space="preserve">a jurisprudencia del Tribunal Europeo de Derechos Humanos refuerza esta comprensión. El Tribunal ha construido, en los últimos años, una doctrina consolidada según la cual la violencia doméstica y la violencia de género comprometen directamente las obligaciones positivas del Estado derivadas del Convenio Europeo de Derechos Humanos. En esta jurisprudencia, el Tribunal ha reiterado que la inacción, la respuesta insuficiente o la tolerancia institucional frente a la violencia de género pueden constituir una vulneración del derecho a la vida y del derecho a no sufrir tratos inhumanos o degradantes, así como una forma de discriminación. El caso </w:t>
                      </w:r>
                      <w:proofErr w:type="spellStart"/>
                      <w:r w:rsidRPr="00061E55">
                        <w:rPr>
                          <w:rFonts w:asciiTheme="majorHAnsi" w:hAnsiTheme="majorHAnsi" w:cstheme="majorHAnsi"/>
                          <w:color w:val="FFFFFF" w:themeColor="background1"/>
                          <w:sz w:val="21"/>
                          <w:szCs w:val="21"/>
                        </w:rPr>
                        <w:t>Opuz</w:t>
                      </w:r>
                      <w:proofErr w:type="spellEnd"/>
                      <w:r w:rsidRPr="00061E55">
                        <w:rPr>
                          <w:rFonts w:asciiTheme="majorHAnsi" w:hAnsiTheme="majorHAnsi" w:cstheme="majorHAnsi"/>
                          <w:color w:val="FFFFFF" w:themeColor="background1"/>
                          <w:sz w:val="21"/>
                          <w:szCs w:val="21"/>
                        </w:rPr>
                        <w:t xml:space="preserve"> contra Turquía, convertido en referencia esencial, marcó un punto de inflexión: el Tribunal dejó claro que cuando las autoridades fallan en adoptar medidas eficaces frente a una violencia reiterada, el Estado no puede refugiarse en la idea de que se trata de conflictos privados. La violencia de género exige una respuesta pública, seria, diligente y libre de estereotipos.</w:t>
                      </w:r>
                    </w:p>
                    <w:p w14:paraId="3B9CEAF9" w14:textId="77777777" w:rsidR="00B81A2B" w:rsidRPr="00061E55" w:rsidRDefault="00B81A2B" w:rsidP="00B81A2B">
                      <w:pPr>
                        <w:pStyle w:val="NormalWeb"/>
                        <w:jc w:val="both"/>
                        <w:rPr>
                          <w:rFonts w:asciiTheme="majorHAnsi" w:hAnsiTheme="majorHAnsi" w:cstheme="majorHAnsi"/>
                          <w:color w:val="FFFFFF" w:themeColor="background1"/>
                          <w:sz w:val="21"/>
                          <w:szCs w:val="21"/>
                        </w:rPr>
                      </w:pPr>
                      <w:r w:rsidRPr="00061E55">
                        <w:rPr>
                          <w:rFonts w:asciiTheme="majorHAnsi" w:hAnsiTheme="majorHAnsi" w:cstheme="majorHAnsi"/>
                          <w:color w:val="FFFFFF" w:themeColor="background1"/>
                          <w:sz w:val="21"/>
                          <w:szCs w:val="21"/>
                        </w:rPr>
                        <w:t xml:space="preserve">Esa línea se ha mantenido en resoluciones posteriores como </w:t>
                      </w:r>
                      <w:proofErr w:type="spellStart"/>
                      <w:r w:rsidRPr="00061E55">
                        <w:rPr>
                          <w:rFonts w:asciiTheme="majorHAnsi" w:hAnsiTheme="majorHAnsi" w:cstheme="majorHAnsi"/>
                          <w:color w:val="FFFFFF" w:themeColor="background1"/>
                          <w:sz w:val="21"/>
                          <w:szCs w:val="21"/>
                        </w:rPr>
                        <w:t>Eremia</w:t>
                      </w:r>
                      <w:proofErr w:type="spellEnd"/>
                      <w:r w:rsidRPr="00061E55">
                        <w:rPr>
                          <w:rFonts w:asciiTheme="majorHAnsi" w:hAnsiTheme="majorHAnsi" w:cstheme="majorHAnsi"/>
                          <w:color w:val="FFFFFF" w:themeColor="background1"/>
                          <w:sz w:val="21"/>
                          <w:szCs w:val="21"/>
                        </w:rPr>
                        <w:t xml:space="preserve"> contra Moldavia, </w:t>
                      </w:r>
                      <w:proofErr w:type="spellStart"/>
                      <w:r w:rsidRPr="00061E55">
                        <w:rPr>
                          <w:rFonts w:asciiTheme="majorHAnsi" w:hAnsiTheme="majorHAnsi" w:cstheme="majorHAnsi"/>
                          <w:color w:val="FFFFFF" w:themeColor="background1"/>
                          <w:sz w:val="21"/>
                          <w:szCs w:val="21"/>
                        </w:rPr>
                        <w:t>Talpis</w:t>
                      </w:r>
                      <w:proofErr w:type="spellEnd"/>
                      <w:r w:rsidRPr="00061E55">
                        <w:rPr>
                          <w:rFonts w:asciiTheme="majorHAnsi" w:hAnsiTheme="majorHAnsi" w:cstheme="majorHAnsi"/>
                          <w:color w:val="FFFFFF" w:themeColor="background1"/>
                          <w:sz w:val="21"/>
                          <w:szCs w:val="21"/>
                        </w:rPr>
                        <w:t xml:space="preserve"> contra Italia o </w:t>
                      </w:r>
                      <w:proofErr w:type="spellStart"/>
                      <w:r w:rsidRPr="00061E55">
                        <w:rPr>
                          <w:rFonts w:asciiTheme="majorHAnsi" w:hAnsiTheme="majorHAnsi" w:cstheme="majorHAnsi"/>
                          <w:color w:val="FFFFFF" w:themeColor="background1"/>
                          <w:sz w:val="21"/>
                          <w:szCs w:val="21"/>
                        </w:rPr>
                        <w:t>Volodina</w:t>
                      </w:r>
                      <w:proofErr w:type="spellEnd"/>
                      <w:r w:rsidRPr="00061E55">
                        <w:rPr>
                          <w:rFonts w:asciiTheme="majorHAnsi" w:hAnsiTheme="majorHAnsi" w:cstheme="majorHAnsi"/>
                          <w:color w:val="FFFFFF" w:themeColor="background1"/>
                          <w:sz w:val="21"/>
                          <w:szCs w:val="21"/>
                        </w:rPr>
                        <w:t xml:space="preserve"> contra Rusia, donde el Tribunal ha insistido en que la violencia doméstica es una forma de violencia que afecta a derechos fundamentales, y que su tratamiento institucional no puede estar marcado por la minimización, la pasividad o la normalización. Más recientemente, en Kurt contra Austria, el Tribunal precisó con detalle las obligaciones de prevención y protección, subrayando la necesidad de que los Estados adopten medidas efectivas y rápidas ante el riesgo. En conjunto, esta jurisprudencia confirma una idea esencial: la respuesta estatal debe ser integral, estructural y visible. La violencia de género no admite respuestas ambiguas.</w:t>
                      </w:r>
                    </w:p>
                    <w:p w14:paraId="0DEF2DF3" w14:textId="77777777" w:rsidR="00B81A2B" w:rsidRPr="00061E55" w:rsidRDefault="00B81A2B" w:rsidP="00B81A2B">
                      <w:pPr>
                        <w:pStyle w:val="NormalWeb"/>
                        <w:jc w:val="both"/>
                        <w:rPr>
                          <w:rFonts w:asciiTheme="majorHAnsi" w:hAnsiTheme="majorHAnsi" w:cstheme="majorHAnsi"/>
                          <w:color w:val="FFFFFF" w:themeColor="background1"/>
                          <w:sz w:val="21"/>
                          <w:szCs w:val="21"/>
                        </w:rPr>
                      </w:pPr>
                      <w:r w:rsidRPr="00061E55">
                        <w:rPr>
                          <w:rFonts w:asciiTheme="majorHAnsi" w:hAnsiTheme="majorHAnsi" w:cstheme="majorHAnsi"/>
                          <w:color w:val="FFFFFF" w:themeColor="background1"/>
                          <w:sz w:val="21"/>
                          <w:szCs w:val="21"/>
                        </w:rPr>
                        <w:t>En este contexto, la declaración de luto oficial se integra con naturalidad en el estándar europeo de diligencia debida. La diligencia debida no es solo un deber de intervención policial o judicial. También es un deber de construir un entorno institucional y social que reduzca el riesgo, refuerce el rechazo, y contribuya a transformar las condiciones que permiten que esta violencia persista. El luto oficial es, precisamente, una medida institucional que expresa un mensaje inequívoco: cada asesinato por violencia de género es una tragedia pública, una herida democrática, una violación grave de derechos humanos que merece un reconocimiento solemne.</w:t>
                      </w:r>
                    </w:p>
                    <w:p w14:paraId="0EDE84B0" w14:textId="77777777" w:rsidR="00B81A2B" w:rsidRDefault="00B81A2B"/>
                  </w:txbxContent>
                </v:textbox>
              </v:shape>
            </w:pict>
          </mc:Fallback>
        </mc:AlternateContent>
      </w:r>
    </w:p>
    <w:p w14:paraId="12EA8ABB" w14:textId="77777777" w:rsidR="00B81A2B" w:rsidRDefault="00B81A2B" w:rsidP="00443FF1">
      <w:pPr>
        <w:pStyle w:val="Ttulo2"/>
        <w:jc w:val="both"/>
        <w:rPr>
          <w:rFonts w:cstheme="majorHAnsi"/>
        </w:rPr>
      </w:pPr>
    </w:p>
    <w:p w14:paraId="005FAF0A" w14:textId="77777777" w:rsidR="00B81A2B" w:rsidRDefault="00B81A2B" w:rsidP="00443FF1">
      <w:pPr>
        <w:pStyle w:val="Ttulo2"/>
        <w:jc w:val="both"/>
        <w:rPr>
          <w:rFonts w:cstheme="majorHAnsi"/>
        </w:rPr>
      </w:pPr>
    </w:p>
    <w:p w14:paraId="0AE5746F" w14:textId="77777777" w:rsidR="00B81A2B" w:rsidRDefault="00B81A2B" w:rsidP="00443FF1">
      <w:pPr>
        <w:pStyle w:val="Ttulo2"/>
        <w:jc w:val="both"/>
        <w:rPr>
          <w:rFonts w:cstheme="majorHAnsi"/>
        </w:rPr>
      </w:pPr>
    </w:p>
    <w:p w14:paraId="532E9D43" w14:textId="77777777" w:rsidR="00B81A2B" w:rsidRDefault="00B81A2B" w:rsidP="00443FF1">
      <w:pPr>
        <w:pStyle w:val="Ttulo2"/>
        <w:jc w:val="both"/>
        <w:rPr>
          <w:rFonts w:cstheme="majorHAnsi"/>
        </w:rPr>
      </w:pPr>
    </w:p>
    <w:p w14:paraId="33D8D9BB" w14:textId="77777777" w:rsidR="00B81A2B" w:rsidRDefault="00B81A2B" w:rsidP="00443FF1">
      <w:pPr>
        <w:pStyle w:val="Ttulo2"/>
        <w:jc w:val="both"/>
        <w:rPr>
          <w:rFonts w:cstheme="majorHAnsi"/>
        </w:rPr>
      </w:pPr>
    </w:p>
    <w:p w14:paraId="3C2DBD47" w14:textId="77777777" w:rsidR="00B81A2B" w:rsidRDefault="00B81A2B" w:rsidP="00443FF1">
      <w:pPr>
        <w:pStyle w:val="Ttulo2"/>
        <w:jc w:val="both"/>
        <w:rPr>
          <w:rFonts w:cstheme="majorHAnsi"/>
        </w:rPr>
      </w:pPr>
    </w:p>
    <w:p w14:paraId="768B6813" w14:textId="77777777" w:rsidR="00B81A2B" w:rsidRDefault="00B81A2B" w:rsidP="00443FF1">
      <w:pPr>
        <w:pStyle w:val="Ttulo2"/>
        <w:jc w:val="both"/>
        <w:rPr>
          <w:rFonts w:cstheme="majorHAnsi"/>
        </w:rPr>
      </w:pPr>
    </w:p>
    <w:p w14:paraId="5D1DCA68" w14:textId="77777777" w:rsidR="00B81A2B" w:rsidRDefault="00B81A2B" w:rsidP="00443FF1">
      <w:pPr>
        <w:pStyle w:val="Ttulo2"/>
        <w:jc w:val="both"/>
        <w:rPr>
          <w:rFonts w:cstheme="majorHAnsi"/>
        </w:rPr>
      </w:pPr>
    </w:p>
    <w:p w14:paraId="7CFCF7FE" w14:textId="77777777" w:rsidR="00B81A2B" w:rsidRDefault="00B81A2B" w:rsidP="00443FF1">
      <w:pPr>
        <w:pStyle w:val="Ttulo2"/>
        <w:jc w:val="both"/>
        <w:rPr>
          <w:rFonts w:cstheme="majorHAnsi"/>
        </w:rPr>
      </w:pPr>
    </w:p>
    <w:p w14:paraId="3CC312FD" w14:textId="77777777" w:rsidR="00B81A2B" w:rsidRDefault="00B81A2B" w:rsidP="00443FF1">
      <w:pPr>
        <w:pStyle w:val="Ttulo2"/>
        <w:jc w:val="both"/>
        <w:rPr>
          <w:rFonts w:cstheme="majorHAnsi"/>
        </w:rPr>
      </w:pPr>
    </w:p>
    <w:p w14:paraId="2A958C3B" w14:textId="77777777" w:rsidR="00B81A2B" w:rsidRDefault="00B81A2B" w:rsidP="00443FF1">
      <w:pPr>
        <w:pStyle w:val="Ttulo2"/>
        <w:jc w:val="both"/>
        <w:rPr>
          <w:rFonts w:cstheme="majorHAnsi"/>
        </w:rPr>
      </w:pPr>
    </w:p>
    <w:p w14:paraId="70C164C1" w14:textId="77777777" w:rsidR="00B81A2B" w:rsidRDefault="00B81A2B" w:rsidP="00443FF1">
      <w:pPr>
        <w:pStyle w:val="Ttulo2"/>
        <w:jc w:val="both"/>
        <w:rPr>
          <w:rFonts w:cstheme="majorHAnsi"/>
        </w:rPr>
      </w:pPr>
    </w:p>
    <w:p w14:paraId="1966BEDF" w14:textId="77777777" w:rsidR="00B81A2B" w:rsidRDefault="00B81A2B" w:rsidP="00443FF1">
      <w:pPr>
        <w:pStyle w:val="Ttulo2"/>
        <w:jc w:val="both"/>
        <w:rPr>
          <w:rFonts w:cstheme="majorHAnsi"/>
        </w:rPr>
      </w:pPr>
    </w:p>
    <w:p w14:paraId="0BFB4537" w14:textId="77777777" w:rsidR="00B81A2B" w:rsidRDefault="00B81A2B" w:rsidP="00443FF1">
      <w:pPr>
        <w:pStyle w:val="Ttulo2"/>
        <w:jc w:val="both"/>
        <w:rPr>
          <w:rFonts w:cstheme="majorHAnsi"/>
        </w:rPr>
      </w:pPr>
    </w:p>
    <w:p w14:paraId="72A48525" w14:textId="77777777" w:rsidR="00B81A2B" w:rsidRDefault="00B81A2B" w:rsidP="00443FF1">
      <w:pPr>
        <w:pStyle w:val="Ttulo2"/>
        <w:jc w:val="both"/>
        <w:rPr>
          <w:rFonts w:cstheme="majorHAnsi"/>
        </w:rPr>
      </w:pPr>
    </w:p>
    <w:p w14:paraId="61D3C64C" w14:textId="77777777" w:rsidR="00B81A2B" w:rsidRDefault="00B81A2B" w:rsidP="00443FF1">
      <w:pPr>
        <w:pStyle w:val="Ttulo2"/>
        <w:jc w:val="both"/>
        <w:rPr>
          <w:rFonts w:cstheme="majorHAnsi"/>
        </w:rPr>
      </w:pPr>
    </w:p>
    <w:p w14:paraId="72D8599F" w14:textId="77777777" w:rsidR="00B81A2B" w:rsidRDefault="00B81A2B" w:rsidP="00443FF1">
      <w:pPr>
        <w:pStyle w:val="Ttulo2"/>
        <w:jc w:val="both"/>
        <w:rPr>
          <w:rFonts w:cstheme="majorHAnsi"/>
        </w:rPr>
      </w:pPr>
    </w:p>
    <w:p w14:paraId="3A270C89" w14:textId="77777777" w:rsidR="00B81A2B" w:rsidRDefault="00B81A2B" w:rsidP="00443FF1">
      <w:pPr>
        <w:pStyle w:val="Ttulo2"/>
        <w:jc w:val="both"/>
        <w:rPr>
          <w:rFonts w:cstheme="majorHAnsi"/>
        </w:rPr>
      </w:pPr>
    </w:p>
    <w:p w14:paraId="69159765" w14:textId="77777777" w:rsidR="00B81A2B" w:rsidRDefault="00B81A2B" w:rsidP="00443FF1">
      <w:pPr>
        <w:pStyle w:val="Ttulo2"/>
        <w:jc w:val="both"/>
        <w:rPr>
          <w:rFonts w:cstheme="majorHAnsi"/>
        </w:rPr>
      </w:pPr>
    </w:p>
    <w:p w14:paraId="3B1060D1" w14:textId="77777777" w:rsidR="00B81A2B" w:rsidRDefault="00B81A2B" w:rsidP="00443FF1">
      <w:pPr>
        <w:pStyle w:val="Ttulo2"/>
        <w:jc w:val="both"/>
        <w:rPr>
          <w:rFonts w:cstheme="majorHAnsi"/>
        </w:rPr>
      </w:pPr>
    </w:p>
    <w:p w14:paraId="1BD2583A" w14:textId="77777777" w:rsidR="00B81A2B" w:rsidRDefault="00B81A2B" w:rsidP="00443FF1">
      <w:pPr>
        <w:pStyle w:val="Ttulo2"/>
        <w:jc w:val="both"/>
        <w:rPr>
          <w:rFonts w:cstheme="majorHAnsi"/>
        </w:rPr>
      </w:pPr>
    </w:p>
    <w:p w14:paraId="2846294F" w14:textId="7E5EF462" w:rsidR="00F26809" w:rsidRPr="00F26809" w:rsidRDefault="00F26809" w:rsidP="00443FF1">
      <w:pPr>
        <w:pStyle w:val="Ttulo2"/>
        <w:jc w:val="both"/>
        <w:rPr>
          <w:rFonts w:cstheme="majorHAnsi"/>
        </w:rPr>
      </w:pPr>
      <w:r w:rsidRPr="00F26809">
        <w:rPr>
          <w:rFonts w:cstheme="majorHAnsi"/>
        </w:rPr>
        <w:t>4. La declaración de luto oficial como medida jurídica y políticamente coherente</w:t>
      </w:r>
    </w:p>
    <w:p w14:paraId="26AB8402" w14:textId="77777777" w:rsidR="00F26809" w:rsidRPr="00F26809" w:rsidRDefault="00F26809" w:rsidP="00443FF1">
      <w:pPr>
        <w:pStyle w:val="Ttulo3"/>
        <w:jc w:val="both"/>
        <w:rPr>
          <w:rFonts w:cstheme="majorHAnsi"/>
        </w:rPr>
      </w:pPr>
      <w:r w:rsidRPr="00F26809">
        <w:rPr>
          <w:rFonts w:cstheme="majorHAnsi"/>
        </w:rPr>
        <w:t>4.1. Naturaleza de la medida</w:t>
      </w:r>
    </w:p>
    <w:p w14:paraId="1CF3FF12"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El luto oficial es una medida institucional adoptada por el Gobierno, normalmente mediante acuerdo, con efectos de:</w:t>
      </w:r>
    </w:p>
    <w:p w14:paraId="578D0DCF" w14:textId="77777777" w:rsidR="00F26809" w:rsidRPr="00F26809" w:rsidRDefault="00F26809" w:rsidP="00443FF1">
      <w:pPr>
        <w:pStyle w:val="NormalWeb"/>
        <w:numPr>
          <w:ilvl w:val="0"/>
          <w:numId w:val="10"/>
        </w:numPr>
        <w:jc w:val="both"/>
        <w:rPr>
          <w:rFonts w:asciiTheme="majorHAnsi" w:hAnsiTheme="majorHAnsi" w:cstheme="majorHAnsi"/>
        </w:rPr>
      </w:pPr>
      <w:r w:rsidRPr="00F26809">
        <w:rPr>
          <w:rFonts w:asciiTheme="majorHAnsi" w:hAnsiTheme="majorHAnsi" w:cstheme="majorHAnsi"/>
        </w:rPr>
        <w:t>expresión pública de duelo,</w:t>
      </w:r>
    </w:p>
    <w:p w14:paraId="5957A7D9" w14:textId="77777777" w:rsidR="00F26809" w:rsidRPr="00F26809" w:rsidRDefault="00F26809" w:rsidP="00443FF1">
      <w:pPr>
        <w:pStyle w:val="NormalWeb"/>
        <w:numPr>
          <w:ilvl w:val="0"/>
          <w:numId w:val="10"/>
        </w:numPr>
        <w:jc w:val="both"/>
        <w:rPr>
          <w:rFonts w:asciiTheme="majorHAnsi" w:hAnsiTheme="majorHAnsi" w:cstheme="majorHAnsi"/>
        </w:rPr>
      </w:pPr>
      <w:r w:rsidRPr="00F26809">
        <w:rPr>
          <w:rFonts w:asciiTheme="majorHAnsi" w:hAnsiTheme="majorHAnsi" w:cstheme="majorHAnsi"/>
        </w:rPr>
        <w:t>reconocimiento institucional,</w:t>
      </w:r>
    </w:p>
    <w:p w14:paraId="12CF0E05" w14:textId="77777777" w:rsidR="00F26809" w:rsidRPr="00F26809" w:rsidRDefault="00F26809" w:rsidP="00443FF1">
      <w:pPr>
        <w:pStyle w:val="NormalWeb"/>
        <w:numPr>
          <w:ilvl w:val="0"/>
          <w:numId w:val="10"/>
        </w:numPr>
        <w:jc w:val="both"/>
        <w:rPr>
          <w:rFonts w:asciiTheme="majorHAnsi" w:hAnsiTheme="majorHAnsi" w:cstheme="majorHAnsi"/>
        </w:rPr>
      </w:pPr>
      <w:r w:rsidRPr="00F26809">
        <w:rPr>
          <w:rFonts w:asciiTheme="majorHAnsi" w:hAnsiTheme="majorHAnsi" w:cstheme="majorHAnsi"/>
        </w:rPr>
        <w:t>solemnidad protocolaria (banderas a media asta, declaraciones oficiales, etc.).</w:t>
      </w:r>
    </w:p>
    <w:p w14:paraId="2C5995A8"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No sustituye las obligaciones materiales (protección, prevención, recursos, justicia), pero constituye un elemento de coherencia democrática y de política pública.</w:t>
      </w:r>
    </w:p>
    <w:p w14:paraId="03CF1E95" w14:textId="77777777" w:rsidR="00F26809" w:rsidRPr="00F26809" w:rsidRDefault="00F26809" w:rsidP="00443FF1">
      <w:pPr>
        <w:pStyle w:val="Ttulo3"/>
        <w:jc w:val="both"/>
        <w:rPr>
          <w:rFonts w:cstheme="majorHAnsi"/>
        </w:rPr>
      </w:pPr>
      <w:r w:rsidRPr="00F26809">
        <w:rPr>
          <w:rFonts w:cstheme="majorHAnsi"/>
        </w:rPr>
        <w:lastRenderedPageBreak/>
        <w:t>4.2. Idoneidad, necesidad y proporcionalidad</w:t>
      </w:r>
    </w:p>
    <w:p w14:paraId="3BD4F7B8"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Desde un enfoque jurídico (principio de proporcionalidad), la medida es:</w:t>
      </w:r>
    </w:p>
    <w:p w14:paraId="74303385" w14:textId="77777777" w:rsidR="00F26809" w:rsidRPr="00F26809" w:rsidRDefault="00F26809" w:rsidP="00061E55">
      <w:pPr>
        <w:pStyle w:val="NormalWeb"/>
        <w:jc w:val="both"/>
        <w:rPr>
          <w:rFonts w:asciiTheme="majorHAnsi" w:hAnsiTheme="majorHAnsi" w:cstheme="majorHAnsi"/>
        </w:rPr>
      </w:pPr>
      <w:r w:rsidRPr="00F26809">
        <w:rPr>
          <w:rStyle w:val="Fuerte"/>
          <w:rFonts w:asciiTheme="majorHAnsi" w:hAnsiTheme="majorHAnsi" w:cstheme="majorHAnsi"/>
        </w:rPr>
        <w:t>Idónea:</w:t>
      </w:r>
      <w:r w:rsidRPr="00F26809">
        <w:rPr>
          <w:rFonts w:asciiTheme="majorHAnsi" w:hAnsiTheme="majorHAnsi" w:cstheme="majorHAnsi"/>
        </w:rPr>
        <w:t xml:space="preserve"> contribuye a la sensibilización, a la </w:t>
      </w:r>
      <w:proofErr w:type="spellStart"/>
      <w:r w:rsidRPr="00F26809">
        <w:rPr>
          <w:rFonts w:asciiTheme="majorHAnsi" w:hAnsiTheme="majorHAnsi" w:cstheme="majorHAnsi"/>
        </w:rPr>
        <w:t>visibilización</w:t>
      </w:r>
      <w:proofErr w:type="spellEnd"/>
      <w:r w:rsidRPr="00F26809">
        <w:rPr>
          <w:rFonts w:asciiTheme="majorHAnsi" w:hAnsiTheme="majorHAnsi" w:cstheme="majorHAnsi"/>
        </w:rPr>
        <w:t xml:space="preserve"> y al rechazo público.</w:t>
      </w:r>
    </w:p>
    <w:p w14:paraId="783561CF" w14:textId="77777777" w:rsidR="00F26809" w:rsidRPr="00F26809" w:rsidRDefault="00F26809" w:rsidP="00061E55">
      <w:pPr>
        <w:pStyle w:val="NormalWeb"/>
        <w:jc w:val="both"/>
        <w:rPr>
          <w:rFonts w:asciiTheme="majorHAnsi" w:hAnsiTheme="majorHAnsi" w:cstheme="majorHAnsi"/>
        </w:rPr>
      </w:pPr>
      <w:r w:rsidRPr="00F26809">
        <w:rPr>
          <w:rStyle w:val="Fuerte"/>
          <w:rFonts w:asciiTheme="majorHAnsi" w:hAnsiTheme="majorHAnsi" w:cstheme="majorHAnsi"/>
        </w:rPr>
        <w:t>Necesaria:</w:t>
      </w:r>
      <w:r w:rsidRPr="00F26809">
        <w:rPr>
          <w:rFonts w:asciiTheme="majorHAnsi" w:hAnsiTheme="majorHAnsi" w:cstheme="majorHAnsi"/>
        </w:rPr>
        <w:t xml:space="preserve"> existe una persistencia estructural de asesinatos y una obligación de reforzar políticas integrales.</w:t>
      </w:r>
    </w:p>
    <w:p w14:paraId="32F64301" w14:textId="77777777" w:rsidR="00F26809" w:rsidRPr="00F26809" w:rsidRDefault="00F26809" w:rsidP="00061E55">
      <w:pPr>
        <w:pStyle w:val="NormalWeb"/>
        <w:jc w:val="both"/>
        <w:rPr>
          <w:rFonts w:asciiTheme="majorHAnsi" w:hAnsiTheme="majorHAnsi" w:cstheme="majorHAnsi"/>
        </w:rPr>
      </w:pPr>
      <w:r w:rsidRPr="00F26809">
        <w:rPr>
          <w:rStyle w:val="Fuerte"/>
          <w:rFonts w:asciiTheme="majorHAnsi" w:hAnsiTheme="majorHAnsi" w:cstheme="majorHAnsi"/>
        </w:rPr>
        <w:t>Proporcionada:</w:t>
      </w:r>
      <w:r w:rsidRPr="00F26809">
        <w:rPr>
          <w:rFonts w:asciiTheme="majorHAnsi" w:hAnsiTheme="majorHAnsi" w:cstheme="majorHAnsi"/>
        </w:rPr>
        <w:t xml:space="preserve"> no restringe derechos, no es invasiva y tiene un coste institucional limitado frente a un impacto social significativo.</w:t>
      </w:r>
    </w:p>
    <w:p w14:paraId="2C753A22" w14:textId="28EC21E8" w:rsidR="00F26809" w:rsidRPr="00F26809" w:rsidRDefault="00F26809" w:rsidP="00443FF1">
      <w:pPr>
        <w:jc w:val="both"/>
        <w:rPr>
          <w:rFonts w:asciiTheme="majorHAnsi" w:hAnsiTheme="majorHAnsi" w:cstheme="majorHAnsi"/>
        </w:rPr>
      </w:pPr>
    </w:p>
    <w:p w14:paraId="2843E9BE" w14:textId="77777777" w:rsidR="00F26809" w:rsidRPr="00F26809" w:rsidRDefault="00F26809" w:rsidP="00443FF1">
      <w:pPr>
        <w:pStyle w:val="Ttulo2"/>
        <w:jc w:val="both"/>
        <w:rPr>
          <w:rFonts w:cstheme="majorHAnsi"/>
        </w:rPr>
      </w:pPr>
      <w:r w:rsidRPr="00F26809">
        <w:rPr>
          <w:rFonts w:cstheme="majorHAnsi"/>
        </w:rPr>
        <w:t>5. Precedentes institucionales: luto oficial ante asesinatos por terrorismo</w:t>
      </w:r>
    </w:p>
    <w:p w14:paraId="506AEB20"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 xml:space="preserve">En España, el luto oficial ha sido utilizado de forma reiterada como respuesta institucional ante </w:t>
      </w:r>
      <w:r w:rsidRPr="00F26809">
        <w:rPr>
          <w:rStyle w:val="Fuerte"/>
          <w:rFonts w:asciiTheme="majorHAnsi" w:hAnsiTheme="majorHAnsi" w:cstheme="majorHAnsi"/>
        </w:rPr>
        <w:t>asesinatos y atentados terroristas</w:t>
      </w:r>
      <w:r w:rsidRPr="00F26809">
        <w:rPr>
          <w:rFonts w:asciiTheme="majorHAnsi" w:hAnsiTheme="majorHAnsi" w:cstheme="majorHAnsi"/>
        </w:rPr>
        <w:t>, con el objetivo de:</w:t>
      </w:r>
    </w:p>
    <w:p w14:paraId="30CB00F2" w14:textId="77777777" w:rsidR="00F26809" w:rsidRPr="00F26809" w:rsidRDefault="00F26809" w:rsidP="00443FF1">
      <w:pPr>
        <w:pStyle w:val="NormalWeb"/>
        <w:numPr>
          <w:ilvl w:val="0"/>
          <w:numId w:val="12"/>
        </w:numPr>
        <w:jc w:val="both"/>
        <w:rPr>
          <w:rFonts w:asciiTheme="majorHAnsi" w:hAnsiTheme="majorHAnsi" w:cstheme="majorHAnsi"/>
        </w:rPr>
      </w:pPr>
      <w:r w:rsidRPr="00F26809">
        <w:rPr>
          <w:rFonts w:asciiTheme="majorHAnsi" w:hAnsiTheme="majorHAnsi" w:cstheme="majorHAnsi"/>
        </w:rPr>
        <w:t>reconocer la gravedad del hecho,</w:t>
      </w:r>
    </w:p>
    <w:p w14:paraId="76F000FA" w14:textId="77777777" w:rsidR="00F26809" w:rsidRPr="00F26809" w:rsidRDefault="00F26809" w:rsidP="00443FF1">
      <w:pPr>
        <w:pStyle w:val="NormalWeb"/>
        <w:numPr>
          <w:ilvl w:val="0"/>
          <w:numId w:val="12"/>
        </w:numPr>
        <w:jc w:val="both"/>
        <w:rPr>
          <w:rFonts w:asciiTheme="majorHAnsi" w:hAnsiTheme="majorHAnsi" w:cstheme="majorHAnsi"/>
        </w:rPr>
      </w:pPr>
      <w:r w:rsidRPr="00F26809">
        <w:rPr>
          <w:rFonts w:asciiTheme="majorHAnsi" w:hAnsiTheme="majorHAnsi" w:cstheme="majorHAnsi"/>
        </w:rPr>
        <w:t>expresar duelo público,</w:t>
      </w:r>
    </w:p>
    <w:p w14:paraId="70627872" w14:textId="77777777" w:rsidR="00F26809" w:rsidRPr="00F26809" w:rsidRDefault="00F26809" w:rsidP="00443FF1">
      <w:pPr>
        <w:pStyle w:val="NormalWeb"/>
        <w:numPr>
          <w:ilvl w:val="0"/>
          <w:numId w:val="12"/>
        </w:numPr>
        <w:jc w:val="both"/>
        <w:rPr>
          <w:rFonts w:asciiTheme="majorHAnsi" w:hAnsiTheme="majorHAnsi" w:cstheme="majorHAnsi"/>
        </w:rPr>
      </w:pPr>
      <w:r w:rsidRPr="00F26809">
        <w:rPr>
          <w:rFonts w:asciiTheme="majorHAnsi" w:hAnsiTheme="majorHAnsi" w:cstheme="majorHAnsi"/>
        </w:rPr>
        <w:t>condenar la violencia,</w:t>
      </w:r>
    </w:p>
    <w:p w14:paraId="0CB39066" w14:textId="77777777" w:rsidR="00F26809" w:rsidRPr="00F26809" w:rsidRDefault="00F26809" w:rsidP="00443FF1">
      <w:pPr>
        <w:pStyle w:val="NormalWeb"/>
        <w:numPr>
          <w:ilvl w:val="0"/>
          <w:numId w:val="12"/>
        </w:numPr>
        <w:jc w:val="both"/>
        <w:rPr>
          <w:rFonts w:asciiTheme="majorHAnsi" w:hAnsiTheme="majorHAnsi" w:cstheme="majorHAnsi"/>
        </w:rPr>
      </w:pPr>
      <w:r w:rsidRPr="00F26809">
        <w:rPr>
          <w:rFonts w:asciiTheme="majorHAnsi" w:hAnsiTheme="majorHAnsi" w:cstheme="majorHAnsi"/>
        </w:rPr>
        <w:t>y reforzar la cohesión social.</w:t>
      </w:r>
    </w:p>
    <w:p w14:paraId="5FB74A95" w14:textId="7FBADEA7" w:rsidR="00F26809" w:rsidRPr="00C91EC7" w:rsidRDefault="00F26809" w:rsidP="00443FF1">
      <w:pPr>
        <w:pStyle w:val="NormalWeb"/>
        <w:jc w:val="both"/>
        <w:rPr>
          <w:rFonts w:asciiTheme="majorHAnsi" w:hAnsiTheme="majorHAnsi" w:cstheme="majorHAnsi"/>
          <w:b/>
          <w:bCs/>
        </w:rPr>
      </w:pPr>
      <w:r w:rsidRPr="00C91EC7">
        <w:rPr>
          <w:rFonts w:asciiTheme="majorHAnsi" w:hAnsiTheme="majorHAnsi" w:cstheme="majorHAnsi"/>
          <w:b/>
          <w:bCs/>
        </w:rPr>
        <w:t xml:space="preserve">Esta práctica refleja un principio </w:t>
      </w:r>
      <w:proofErr w:type="spellStart"/>
      <w:proofErr w:type="gramStart"/>
      <w:r w:rsidRPr="00C91EC7">
        <w:rPr>
          <w:rFonts w:asciiTheme="majorHAnsi" w:hAnsiTheme="majorHAnsi" w:cstheme="majorHAnsi"/>
          <w:b/>
          <w:bCs/>
        </w:rPr>
        <w:t>institucional:cuando</w:t>
      </w:r>
      <w:proofErr w:type="spellEnd"/>
      <w:proofErr w:type="gramEnd"/>
      <w:r w:rsidRPr="00C91EC7">
        <w:rPr>
          <w:rFonts w:asciiTheme="majorHAnsi" w:hAnsiTheme="majorHAnsi" w:cstheme="majorHAnsi"/>
          <w:b/>
          <w:bCs/>
        </w:rPr>
        <w:t xml:space="preserve"> una violencia causa la muerte y constituye una quiebra grave del pacto democrático, el Estado responde con una manifestación oficial de duelo.</w:t>
      </w:r>
    </w:p>
    <w:p w14:paraId="15B51272"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Los asesinatos por violencia de género comparten elementos esenciales:</w:t>
      </w:r>
    </w:p>
    <w:p w14:paraId="5E914A7F" w14:textId="77777777" w:rsidR="00F26809" w:rsidRPr="00F26809" w:rsidRDefault="00F26809" w:rsidP="00443FF1">
      <w:pPr>
        <w:pStyle w:val="NormalWeb"/>
        <w:numPr>
          <w:ilvl w:val="0"/>
          <w:numId w:val="13"/>
        </w:numPr>
        <w:jc w:val="both"/>
        <w:rPr>
          <w:rFonts w:asciiTheme="majorHAnsi" w:hAnsiTheme="majorHAnsi" w:cstheme="majorHAnsi"/>
        </w:rPr>
      </w:pPr>
      <w:r w:rsidRPr="00F26809">
        <w:rPr>
          <w:rFonts w:asciiTheme="majorHAnsi" w:hAnsiTheme="majorHAnsi" w:cstheme="majorHAnsi"/>
        </w:rPr>
        <w:t>la lesión máxima del derecho a la vida,</w:t>
      </w:r>
    </w:p>
    <w:p w14:paraId="06E3D4FD" w14:textId="77777777" w:rsidR="00F26809" w:rsidRPr="00F26809" w:rsidRDefault="00F26809" w:rsidP="00443FF1">
      <w:pPr>
        <w:pStyle w:val="NormalWeb"/>
        <w:numPr>
          <w:ilvl w:val="0"/>
          <w:numId w:val="13"/>
        </w:numPr>
        <w:jc w:val="both"/>
        <w:rPr>
          <w:rFonts w:asciiTheme="majorHAnsi" w:hAnsiTheme="majorHAnsi" w:cstheme="majorHAnsi"/>
        </w:rPr>
      </w:pPr>
      <w:r w:rsidRPr="00F26809">
        <w:rPr>
          <w:rFonts w:asciiTheme="majorHAnsi" w:hAnsiTheme="majorHAnsi" w:cstheme="majorHAnsi"/>
        </w:rPr>
        <w:t>la gravedad extrema del daño,</w:t>
      </w:r>
    </w:p>
    <w:p w14:paraId="6D6EA222" w14:textId="77777777" w:rsidR="00F26809" w:rsidRPr="00F26809" w:rsidRDefault="00F26809" w:rsidP="00443FF1">
      <w:pPr>
        <w:pStyle w:val="NormalWeb"/>
        <w:numPr>
          <w:ilvl w:val="0"/>
          <w:numId w:val="13"/>
        </w:numPr>
        <w:jc w:val="both"/>
        <w:rPr>
          <w:rFonts w:asciiTheme="majorHAnsi" w:hAnsiTheme="majorHAnsi" w:cstheme="majorHAnsi"/>
        </w:rPr>
      </w:pPr>
      <w:r w:rsidRPr="00F26809">
        <w:rPr>
          <w:rFonts w:asciiTheme="majorHAnsi" w:hAnsiTheme="majorHAnsi" w:cstheme="majorHAnsi"/>
        </w:rPr>
        <w:t>el impacto social y comunitario,</w:t>
      </w:r>
    </w:p>
    <w:p w14:paraId="484EE358" w14:textId="77777777" w:rsidR="00F26809" w:rsidRPr="00F26809" w:rsidRDefault="00F26809" w:rsidP="00443FF1">
      <w:pPr>
        <w:pStyle w:val="NormalWeb"/>
        <w:numPr>
          <w:ilvl w:val="0"/>
          <w:numId w:val="13"/>
        </w:numPr>
        <w:jc w:val="both"/>
        <w:rPr>
          <w:rFonts w:asciiTheme="majorHAnsi" w:hAnsiTheme="majorHAnsi" w:cstheme="majorHAnsi"/>
        </w:rPr>
      </w:pPr>
      <w:r w:rsidRPr="00F26809">
        <w:rPr>
          <w:rFonts w:asciiTheme="majorHAnsi" w:hAnsiTheme="majorHAnsi" w:cstheme="majorHAnsi"/>
        </w:rPr>
        <w:t>la afectación estructural de derechos fundamentales,</w:t>
      </w:r>
    </w:p>
    <w:p w14:paraId="15747D84" w14:textId="77777777" w:rsidR="00F26809" w:rsidRPr="00F26809" w:rsidRDefault="00F26809" w:rsidP="00443FF1">
      <w:pPr>
        <w:pStyle w:val="NormalWeb"/>
        <w:numPr>
          <w:ilvl w:val="0"/>
          <w:numId w:val="13"/>
        </w:numPr>
        <w:jc w:val="both"/>
        <w:rPr>
          <w:rFonts w:asciiTheme="majorHAnsi" w:hAnsiTheme="majorHAnsi" w:cstheme="majorHAnsi"/>
        </w:rPr>
      </w:pPr>
      <w:r w:rsidRPr="00F26809">
        <w:rPr>
          <w:rFonts w:asciiTheme="majorHAnsi" w:hAnsiTheme="majorHAnsi" w:cstheme="majorHAnsi"/>
        </w:rPr>
        <w:t>y la dimensión de violencia sistemática contra un grupo históricamente discriminado.</w:t>
      </w:r>
    </w:p>
    <w:p w14:paraId="30FFDC90"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Por tanto, existe una base de coherencia institucional para aplicar un estándar análogo de reconocimiento público y solemnidad.</w:t>
      </w:r>
    </w:p>
    <w:p w14:paraId="1394AEB9" w14:textId="77777777" w:rsidR="00F26809" w:rsidRPr="00F26809" w:rsidRDefault="00F26809" w:rsidP="00443FF1">
      <w:pPr>
        <w:pStyle w:val="Ttulo2"/>
        <w:jc w:val="both"/>
        <w:rPr>
          <w:rFonts w:cstheme="majorHAnsi"/>
        </w:rPr>
      </w:pPr>
      <w:r w:rsidRPr="00F26809">
        <w:rPr>
          <w:rFonts w:cstheme="majorHAnsi"/>
        </w:rPr>
        <w:t>6. Inclusión de niñas y niños: violencia vicaria y violencia vinculada</w:t>
      </w:r>
    </w:p>
    <w:p w14:paraId="49FFBC75"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La solicitud incluye expresamente “mujeres, niñas y niños” por razones de derecho y de realidad social:</w:t>
      </w:r>
    </w:p>
    <w:p w14:paraId="72EDB8C1" w14:textId="77777777" w:rsidR="00F26809" w:rsidRPr="00F26809" w:rsidRDefault="00F26809" w:rsidP="00443FF1">
      <w:pPr>
        <w:pStyle w:val="NormalWeb"/>
        <w:numPr>
          <w:ilvl w:val="0"/>
          <w:numId w:val="14"/>
        </w:numPr>
        <w:jc w:val="both"/>
        <w:rPr>
          <w:rFonts w:asciiTheme="majorHAnsi" w:hAnsiTheme="majorHAnsi" w:cstheme="majorHAnsi"/>
        </w:rPr>
      </w:pPr>
      <w:r w:rsidRPr="00F26809">
        <w:rPr>
          <w:rFonts w:asciiTheme="majorHAnsi" w:hAnsiTheme="majorHAnsi" w:cstheme="majorHAnsi"/>
        </w:rPr>
        <w:lastRenderedPageBreak/>
        <w:t xml:space="preserve">La violencia de género incluye fenómenos como la </w:t>
      </w:r>
      <w:r w:rsidRPr="00F26809">
        <w:rPr>
          <w:rStyle w:val="Fuerte"/>
          <w:rFonts w:asciiTheme="majorHAnsi" w:hAnsiTheme="majorHAnsi" w:cstheme="majorHAnsi"/>
        </w:rPr>
        <w:t>violencia vicaria</w:t>
      </w:r>
      <w:r w:rsidRPr="00F26809">
        <w:rPr>
          <w:rFonts w:asciiTheme="majorHAnsi" w:hAnsiTheme="majorHAnsi" w:cstheme="majorHAnsi"/>
        </w:rPr>
        <w:t>, en los que se asesina a menores para causar daño extremo a la madre.</w:t>
      </w:r>
    </w:p>
    <w:p w14:paraId="24D5C5AB" w14:textId="77777777" w:rsidR="00F26809" w:rsidRPr="00F26809" w:rsidRDefault="00F26809" w:rsidP="00443FF1">
      <w:pPr>
        <w:pStyle w:val="NormalWeb"/>
        <w:numPr>
          <w:ilvl w:val="0"/>
          <w:numId w:val="14"/>
        </w:numPr>
        <w:jc w:val="both"/>
        <w:rPr>
          <w:rFonts w:asciiTheme="majorHAnsi" w:hAnsiTheme="majorHAnsi" w:cstheme="majorHAnsi"/>
        </w:rPr>
      </w:pPr>
      <w:r w:rsidRPr="00F26809">
        <w:rPr>
          <w:rFonts w:asciiTheme="majorHAnsi" w:hAnsiTheme="majorHAnsi" w:cstheme="majorHAnsi"/>
        </w:rPr>
        <w:t>La muerte de menores en este contexto no puede considerarse un hecho desconectado: forma parte del mismo patrón de dominación y control.</w:t>
      </w:r>
    </w:p>
    <w:p w14:paraId="380CE6D8"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El Convenio de Estambul impone un enfoque integral que atienda el impacto de la violencia en el entorno familiar, especialmente en menores. La declaración de luto oficial también para estas víctimas refuerza el mensaje de protección integral y el rechazo institucional.</w:t>
      </w:r>
    </w:p>
    <w:p w14:paraId="542066B9" w14:textId="77777777" w:rsidR="00F26809" w:rsidRPr="00F26809" w:rsidRDefault="00F26809" w:rsidP="00443FF1">
      <w:pPr>
        <w:pStyle w:val="Ttulo2"/>
        <w:jc w:val="both"/>
        <w:rPr>
          <w:rFonts w:cstheme="majorHAnsi"/>
        </w:rPr>
      </w:pPr>
      <w:r w:rsidRPr="00F26809">
        <w:rPr>
          <w:rFonts w:cstheme="majorHAnsi"/>
        </w:rPr>
        <w:t>7. Conclusión</w:t>
      </w:r>
    </w:p>
    <w:p w14:paraId="7A11A0AB"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La declaración de un día de luto oficial por cada asesinato por violencia de género constituye una medida:</w:t>
      </w:r>
    </w:p>
    <w:p w14:paraId="114DBBAE" w14:textId="77777777" w:rsidR="00F26809" w:rsidRPr="00F26809" w:rsidRDefault="00F26809" w:rsidP="00443FF1">
      <w:pPr>
        <w:pStyle w:val="NormalWeb"/>
        <w:numPr>
          <w:ilvl w:val="0"/>
          <w:numId w:val="15"/>
        </w:numPr>
        <w:jc w:val="both"/>
        <w:rPr>
          <w:rFonts w:asciiTheme="majorHAnsi" w:hAnsiTheme="majorHAnsi" w:cstheme="majorHAnsi"/>
        </w:rPr>
      </w:pPr>
      <w:r w:rsidRPr="00F26809">
        <w:rPr>
          <w:rFonts w:asciiTheme="majorHAnsi" w:hAnsiTheme="majorHAnsi" w:cstheme="majorHAnsi"/>
        </w:rPr>
        <w:t xml:space="preserve">coherente con la </w:t>
      </w:r>
      <w:r w:rsidRPr="00F26809">
        <w:rPr>
          <w:rStyle w:val="Fuerte"/>
          <w:rFonts w:asciiTheme="majorHAnsi" w:hAnsiTheme="majorHAnsi" w:cstheme="majorHAnsi"/>
        </w:rPr>
        <w:t>CEDAW</w:t>
      </w:r>
      <w:r w:rsidRPr="00F26809">
        <w:rPr>
          <w:rFonts w:asciiTheme="majorHAnsi" w:hAnsiTheme="majorHAnsi" w:cstheme="majorHAnsi"/>
        </w:rPr>
        <w:t xml:space="preserve"> (artículos 2 y 5),</w:t>
      </w:r>
    </w:p>
    <w:p w14:paraId="6E25C9EA" w14:textId="77777777" w:rsidR="00F26809" w:rsidRPr="00F26809" w:rsidRDefault="00F26809" w:rsidP="00443FF1">
      <w:pPr>
        <w:pStyle w:val="NormalWeb"/>
        <w:numPr>
          <w:ilvl w:val="0"/>
          <w:numId w:val="15"/>
        </w:numPr>
        <w:jc w:val="both"/>
        <w:rPr>
          <w:rFonts w:asciiTheme="majorHAnsi" w:hAnsiTheme="majorHAnsi" w:cstheme="majorHAnsi"/>
        </w:rPr>
      </w:pPr>
      <w:r w:rsidRPr="00F26809">
        <w:rPr>
          <w:rFonts w:asciiTheme="majorHAnsi" w:hAnsiTheme="majorHAnsi" w:cstheme="majorHAnsi"/>
        </w:rPr>
        <w:t xml:space="preserve">coherente con el </w:t>
      </w:r>
      <w:r w:rsidRPr="00F26809">
        <w:rPr>
          <w:rStyle w:val="Fuerte"/>
          <w:rFonts w:asciiTheme="majorHAnsi" w:hAnsiTheme="majorHAnsi" w:cstheme="majorHAnsi"/>
        </w:rPr>
        <w:t>Convenio de Estambul</w:t>
      </w:r>
      <w:r w:rsidRPr="00F26809">
        <w:rPr>
          <w:rFonts w:asciiTheme="majorHAnsi" w:hAnsiTheme="majorHAnsi" w:cstheme="majorHAnsi"/>
        </w:rPr>
        <w:t xml:space="preserve"> (artículos 5, 12 y 13),</w:t>
      </w:r>
    </w:p>
    <w:p w14:paraId="3AC00FB1" w14:textId="77777777" w:rsidR="00F26809" w:rsidRPr="00F26809" w:rsidRDefault="00F26809" w:rsidP="00443FF1">
      <w:pPr>
        <w:pStyle w:val="NormalWeb"/>
        <w:numPr>
          <w:ilvl w:val="0"/>
          <w:numId w:val="15"/>
        </w:numPr>
        <w:jc w:val="both"/>
        <w:rPr>
          <w:rFonts w:asciiTheme="majorHAnsi" w:hAnsiTheme="majorHAnsi" w:cstheme="majorHAnsi"/>
        </w:rPr>
      </w:pPr>
      <w:r w:rsidRPr="00F26809">
        <w:rPr>
          <w:rFonts w:asciiTheme="majorHAnsi" w:hAnsiTheme="majorHAnsi" w:cstheme="majorHAnsi"/>
        </w:rPr>
        <w:t xml:space="preserve">alineada con el estándar de </w:t>
      </w:r>
      <w:r w:rsidRPr="00F26809">
        <w:rPr>
          <w:rStyle w:val="Fuerte"/>
          <w:rFonts w:asciiTheme="majorHAnsi" w:hAnsiTheme="majorHAnsi" w:cstheme="majorHAnsi"/>
        </w:rPr>
        <w:t>diligencia debida</w:t>
      </w:r>
      <w:r w:rsidRPr="00F26809">
        <w:rPr>
          <w:rFonts w:asciiTheme="majorHAnsi" w:hAnsiTheme="majorHAnsi" w:cstheme="majorHAnsi"/>
        </w:rPr>
        <w:t>,</w:t>
      </w:r>
    </w:p>
    <w:p w14:paraId="7526D28A" w14:textId="77777777" w:rsidR="00F26809" w:rsidRPr="00F26809" w:rsidRDefault="00F26809" w:rsidP="00443FF1">
      <w:pPr>
        <w:pStyle w:val="NormalWeb"/>
        <w:numPr>
          <w:ilvl w:val="0"/>
          <w:numId w:val="15"/>
        </w:numPr>
        <w:jc w:val="both"/>
        <w:rPr>
          <w:rFonts w:asciiTheme="majorHAnsi" w:hAnsiTheme="majorHAnsi" w:cstheme="majorHAnsi"/>
        </w:rPr>
      </w:pPr>
      <w:r w:rsidRPr="00F26809">
        <w:rPr>
          <w:rFonts w:asciiTheme="majorHAnsi" w:hAnsiTheme="majorHAnsi" w:cstheme="majorHAnsi"/>
        </w:rPr>
        <w:t>y consistente con la práctica institucional española de luto oficial ante asesinatos por terrorismo.</w:t>
      </w:r>
    </w:p>
    <w:p w14:paraId="6D67DEC8"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Por tanto, se concluye que dicha declaración:</w:t>
      </w:r>
    </w:p>
    <w:p w14:paraId="44DA9904" w14:textId="77777777" w:rsidR="00F26809" w:rsidRPr="00F26809" w:rsidRDefault="00F26809" w:rsidP="00443FF1">
      <w:pPr>
        <w:pStyle w:val="NormalWeb"/>
        <w:numPr>
          <w:ilvl w:val="0"/>
          <w:numId w:val="16"/>
        </w:numPr>
        <w:jc w:val="both"/>
        <w:rPr>
          <w:rFonts w:asciiTheme="majorHAnsi" w:hAnsiTheme="majorHAnsi" w:cstheme="majorHAnsi"/>
        </w:rPr>
      </w:pPr>
      <w:r w:rsidRPr="00F26809">
        <w:rPr>
          <w:rFonts w:asciiTheme="majorHAnsi" w:hAnsiTheme="majorHAnsi" w:cstheme="majorHAnsi"/>
        </w:rPr>
        <w:t>es jurídicamente defendible como medida de reparación simbólica,</w:t>
      </w:r>
    </w:p>
    <w:p w14:paraId="112CF9C2" w14:textId="77777777" w:rsidR="00F26809" w:rsidRPr="00F26809" w:rsidRDefault="00F26809" w:rsidP="00443FF1">
      <w:pPr>
        <w:pStyle w:val="NormalWeb"/>
        <w:numPr>
          <w:ilvl w:val="0"/>
          <w:numId w:val="16"/>
        </w:numPr>
        <w:jc w:val="both"/>
        <w:rPr>
          <w:rFonts w:asciiTheme="majorHAnsi" w:hAnsiTheme="majorHAnsi" w:cstheme="majorHAnsi"/>
        </w:rPr>
      </w:pPr>
      <w:r w:rsidRPr="00F26809">
        <w:rPr>
          <w:rFonts w:asciiTheme="majorHAnsi" w:hAnsiTheme="majorHAnsi" w:cstheme="majorHAnsi"/>
        </w:rPr>
        <w:t>contribuye a las obligaciones de sensibilización y prevención,</w:t>
      </w:r>
    </w:p>
    <w:p w14:paraId="05765003" w14:textId="77777777" w:rsidR="00F26809" w:rsidRPr="00F26809" w:rsidRDefault="00F26809" w:rsidP="00443FF1">
      <w:pPr>
        <w:pStyle w:val="NormalWeb"/>
        <w:numPr>
          <w:ilvl w:val="0"/>
          <w:numId w:val="16"/>
        </w:numPr>
        <w:jc w:val="both"/>
        <w:rPr>
          <w:rFonts w:asciiTheme="majorHAnsi" w:hAnsiTheme="majorHAnsi" w:cstheme="majorHAnsi"/>
        </w:rPr>
      </w:pPr>
      <w:r w:rsidRPr="00F26809">
        <w:rPr>
          <w:rFonts w:asciiTheme="majorHAnsi" w:hAnsiTheme="majorHAnsi" w:cstheme="majorHAnsi"/>
        </w:rPr>
        <w:t>y refuerza la respuesta pública del Estado frente a una violencia estructural y grave.</w:t>
      </w:r>
    </w:p>
    <w:p w14:paraId="26E82FF9" w14:textId="2B49ACCF" w:rsidR="00F26809" w:rsidRPr="00F26809" w:rsidRDefault="00F26809" w:rsidP="00443FF1">
      <w:pPr>
        <w:jc w:val="both"/>
        <w:rPr>
          <w:rFonts w:asciiTheme="majorHAnsi" w:hAnsiTheme="majorHAnsi" w:cstheme="majorHAnsi"/>
        </w:rPr>
      </w:pPr>
    </w:p>
    <w:p w14:paraId="348535BB" w14:textId="777B1CCA" w:rsidR="00F26809" w:rsidRPr="00F26809" w:rsidRDefault="00F26809" w:rsidP="00443FF1">
      <w:pPr>
        <w:pStyle w:val="Ttulo2"/>
        <w:jc w:val="both"/>
        <w:rPr>
          <w:rFonts w:cstheme="majorHAnsi"/>
        </w:rPr>
      </w:pPr>
      <w:r w:rsidRPr="00F26809">
        <w:rPr>
          <w:rFonts w:cstheme="majorHAnsi"/>
        </w:rPr>
        <w:t xml:space="preserve">8. Recomendación de medida </w:t>
      </w:r>
    </w:p>
    <w:p w14:paraId="756B0B57" w14:textId="77777777" w:rsidR="00F26809" w:rsidRPr="00F26809" w:rsidRDefault="00F26809" w:rsidP="00443FF1">
      <w:pPr>
        <w:pStyle w:val="NormalWeb"/>
        <w:jc w:val="both"/>
        <w:rPr>
          <w:rFonts w:asciiTheme="majorHAnsi" w:hAnsiTheme="majorHAnsi" w:cstheme="majorHAnsi"/>
        </w:rPr>
      </w:pPr>
      <w:r w:rsidRPr="00F26809">
        <w:rPr>
          <w:rFonts w:asciiTheme="majorHAnsi" w:hAnsiTheme="majorHAnsi" w:cstheme="majorHAnsi"/>
        </w:rPr>
        <w:t>Se recomienda que el Gobierno adopte, mediante acuerdo, una decisión institucional consistente en:</w:t>
      </w:r>
    </w:p>
    <w:p w14:paraId="269F0297" w14:textId="77777777" w:rsidR="00F26809" w:rsidRPr="00F26809" w:rsidRDefault="00F26809" w:rsidP="00443FF1">
      <w:pPr>
        <w:pStyle w:val="NormalWeb"/>
        <w:jc w:val="both"/>
        <w:rPr>
          <w:rFonts w:asciiTheme="majorHAnsi" w:hAnsiTheme="majorHAnsi" w:cstheme="majorHAnsi"/>
        </w:rPr>
      </w:pPr>
      <w:r w:rsidRPr="00F26809">
        <w:rPr>
          <w:rStyle w:val="Fuerte"/>
          <w:rFonts w:asciiTheme="majorHAnsi" w:hAnsiTheme="majorHAnsi" w:cstheme="majorHAnsi"/>
        </w:rPr>
        <w:t>“Declarar un día de luto oficial cada vez que se produzca un asesinato por violencia de género contra mujeres, y en los casos en que dicha violencia cause la muerte de niñas y niños, como manifestación de duelo colectivo, condena pública y compromiso institucional contra la violencia machista.”</w:t>
      </w:r>
    </w:p>
    <w:sectPr w:rsidR="00F26809" w:rsidRPr="00F26809" w:rsidSect="00567C6F">
      <w:headerReference w:type="default" r:id="rId7"/>
      <w:footerReference w:type="default" r:id="rId8"/>
      <w:pgSz w:w="11906" w:h="16838"/>
      <w:pgMar w:top="1851" w:right="1700" w:bottom="199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9DD2" w14:textId="77777777" w:rsidR="00A309FA" w:rsidRDefault="00A309FA">
      <w:pPr>
        <w:spacing w:after="0" w:line="240" w:lineRule="auto"/>
      </w:pPr>
      <w:r>
        <w:separator/>
      </w:r>
    </w:p>
  </w:endnote>
  <w:endnote w:type="continuationSeparator" w:id="0">
    <w:p w14:paraId="396929A0" w14:textId="77777777" w:rsidR="00A309FA" w:rsidRDefault="00A3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EF40" w14:textId="29D3343E" w:rsidR="00150C04" w:rsidRDefault="00B2635A">
    <w:pPr>
      <w:pStyle w:val="Piedepgina"/>
    </w:pPr>
    <w:r>
      <w:rPr>
        <w:noProof/>
        <w:lang w:eastAsia="es-ES"/>
      </w:rPr>
      <mc:AlternateContent>
        <mc:Choice Requires="wps">
          <w:drawing>
            <wp:anchor distT="0" distB="0" distL="114300" distR="114300" simplePos="0" relativeHeight="251660288" behindDoc="0" locked="0" layoutInCell="1" allowOverlap="1" wp14:anchorId="3AA04C11" wp14:editId="33F3493D">
              <wp:simplePos x="0" y="0"/>
              <wp:positionH relativeFrom="column">
                <wp:posOffset>3553888</wp:posOffset>
              </wp:positionH>
              <wp:positionV relativeFrom="paragraph">
                <wp:posOffset>-215132</wp:posOffset>
              </wp:positionV>
              <wp:extent cx="1459865" cy="657225"/>
              <wp:effectExtent l="0" t="0" r="6985" b="9525"/>
              <wp:wrapNone/>
              <wp:docPr id="2" name="Cuadro de texto 2"/>
              <wp:cNvGraphicFramePr/>
              <a:graphic xmlns:a="http://schemas.openxmlformats.org/drawingml/2006/main">
                <a:graphicData uri="http://schemas.microsoft.com/office/word/2010/wordprocessingShape">
                  <wps:wsp>
                    <wps:cNvSpPr txBox="1"/>
                    <wps:spPr>
                      <a:xfrm>
                        <a:off x="0" y="0"/>
                        <a:ext cx="1459865" cy="657225"/>
                      </a:xfrm>
                      <a:prstGeom prst="rect">
                        <a:avLst/>
                      </a:prstGeom>
                      <a:solidFill>
                        <a:schemeClr val="lt1"/>
                      </a:solidFill>
                      <a:ln w="6350">
                        <a:noFill/>
                      </a:ln>
                    </wps:spPr>
                    <wps:txbx>
                      <w:txbxContent>
                        <w:p w14:paraId="0EAFCD43" w14:textId="77777777" w:rsidR="00150C04" w:rsidRDefault="00000000" w:rsidP="001707F3">
                          <w:pPr>
                            <w:spacing w:after="0"/>
                            <w:jc w:val="both"/>
                          </w:pPr>
                          <w:r>
                            <w:rPr>
                              <w:color w:val="231F20"/>
                              <w:sz w:val="14"/>
                            </w:rPr>
                            <w:t>La Asociación</w:t>
                          </w:r>
                          <w:r>
                            <w:rPr>
                              <w:color w:val="231F20"/>
                              <w:spacing w:val="8"/>
                              <w:sz w:val="14"/>
                            </w:rPr>
                            <w:t xml:space="preserve"> </w:t>
                          </w:r>
                          <w:r>
                            <w:rPr>
                              <w:color w:val="231F20"/>
                              <w:sz w:val="14"/>
                            </w:rPr>
                            <w:t>Pro</w:t>
                          </w:r>
                          <w:r>
                            <w:rPr>
                              <w:color w:val="231F20"/>
                              <w:spacing w:val="10"/>
                              <w:sz w:val="14"/>
                            </w:rPr>
                            <w:t xml:space="preserve"> </w:t>
                          </w:r>
                          <w:r>
                            <w:rPr>
                              <w:color w:val="231F20"/>
                              <w:sz w:val="14"/>
                            </w:rPr>
                            <w:t>Derechos Humanos de España es</w:t>
                          </w:r>
                          <w:r>
                            <w:rPr>
                              <w:color w:val="231F20"/>
                              <w:spacing w:val="24"/>
                              <w:sz w:val="14"/>
                            </w:rPr>
                            <w:t xml:space="preserve"> </w:t>
                          </w:r>
                          <w:r>
                            <w:rPr>
                              <w:color w:val="231F20"/>
                              <w:sz w:val="14"/>
                            </w:rPr>
                            <w:t>miembro de</w:t>
                          </w:r>
                          <w:r>
                            <w:rPr>
                              <w:color w:val="231F20"/>
                              <w:spacing w:val="1"/>
                              <w:sz w:val="14"/>
                            </w:rPr>
                            <w:t xml:space="preserve"> </w:t>
                          </w:r>
                          <w:r>
                            <w:rPr>
                              <w:color w:val="231F20"/>
                              <w:sz w:val="14"/>
                            </w:rPr>
                            <w:t>la Federación Internacional por</w:t>
                          </w:r>
                          <w:r>
                            <w:rPr>
                              <w:color w:val="231F20"/>
                              <w:spacing w:val="2"/>
                              <w:sz w:val="14"/>
                            </w:rPr>
                            <w:t xml:space="preserve"> </w:t>
                          </w:r>
                          <w:r>
                            <w:rPr>
                              <w:color w:val="231F20"/>
                              <w:sz w:val="14"/>
                            </w:rPr>
                            <w:t>los Derechos</w:t>
                          </w:r>
                          <w:r>
                            <w:rPr>
                              <w:color w:val="231F20"/>
                              <w:spacing w:val="16"/>
                              <w:sz w:val="14"/>
                            </w:rPr>
                            <w:t xml:space="preserve"> </w:t>
                          </w:r>
                          <w:r>
                            <w:rPr>
                              <w:color w:val="231F20"/>
                              <w:sz w:val="14"/>
                            </w:rPr>
                            <w:t>Humanos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04C11" id="_x0000_t202" coordsize="21600,21600" o:spt="202" path="m,l,21600r21600,l21600,xe">
              <v:stroke joinstyle="miter"/>
              <v:path gradientshapeok="t" o:connecttype="rect"/>
            </v:shapetype>
            <v:shape id="Cuadro de texto 2" o:spid="_x0000_s1028" type="#_x0000_t202" style="position:absolute;margin-left:279.85pt;margin-top:-16.95pt;width:114.9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" fillcolor="white [3201]" stroked="f" strokeweight=".5pt">
              <v:textbox>
                <w:txbxContent>
                  <w:p w14:paraId="0EAFCD43" w14:textId="77777777" w:rsidR="00150C04" w:rsidRDefault="00000000" w:rsidP="001707F3">
                    <w:pPr>
                      <w:spacing w:after="0"/>
                      <w:jc w:val="both"/>
                    </w:pPr>
                    <w:r>
                      <w:rPr>
                        <w:color w:val="231F20"/>
                        <w:sz w:val="14"/>
                      </w:rPr>
                      <w:t>La Asociación</w:t>
                    </w:r>
                    <w:r>
                      <w:rPr>
                        <w:color w:val="231F20"/>
                        <w:spacing w:val="8"/>
                        <w:sz w:val="14"/>
                      </w:rPr>
                      <w:t xml:space="preserve"> </w:t>
                    </w:r>
                    <w:r>
                      <w:rPr>
                        <w:color w:val="231F20"/>
                        <w:sz w:val="14"/>
                      </w:rPr>
                      <w:t>Pro</w:t>
                    </w:r>
                    <w:r>
                      <w:rPr>
                        <w:color w:val="231F20"/>
                        <w:spacing w:val="10"/>
                        <w:sz w:val="14"/>
                      </w:rPr>
                      <w:t xml:space="preserve"> </w:t>
                    </w:r>
                    <w:r>
                      <w:rPr>
                        <w:color w:val="231F20"/>
                        <w:sz w:val="14"/>
                      </w:rPr>
                      <w:t>Derechos Humanos de España es</w:t>
                    </w:r>
                    <w:r>
                      <w:rPr>
                        <w:color w:val="231F20"/>
                        <w:spacing w:val="24"/>
                        <w:sz w:val="14"/>
                      </w:rPr>
                      <w:t xml:space="preserve"> </w:t>
                    </w:r>
                    <w:r>
                      <w:rPr>
                        <w:color w:val="231F20"/>
                        <w:sz w:val="14"/>
                      </w:rPr>
                      <w:t>miembro de</w:t>
                    </w:r>
                    <w:r>
                      <w:rPr>
                        <w:color w:val="231F20"/>
                        <w:spacing w:val="1"/>
                        <w:sz w:val="14"/>
                      </w:rPr>
                      <w:t xml:space="preserve"> </w:t>
                    </w:r>
                    <w:r>
                      <w:rPr>
                        <w:color w:val="231F20"/>
                        <w:sz w:val="14"/>
                      </w:rPr>
                      <w:t>la Federación Internacional por</w:t>
                    </w:r>
                    <w:r>
                      <w:rPr>
                        <w:color w:val="231F20"/>
                        <w:spacing w:val="2"/>
                        <w:sz w:val="14"/>
                      </w:rPr>
                      <w:t xml:space="preserve"> </w:t>
                    </w:r>
                    <w:r>
                      <w:rPr>
                        <w:color w:val="231F20"/>
                        <w:sz w:val="14"/>
                      </w:rPr>
                      <w:t>los Derechos</w:t>
                    </w:r>
                    <w:r>
                      <w:rPr>
                        <w:color w:val="231F20"/>
                        <w:spacing w:val="16"/>
                        <w:sz w:val="14"/>
                      </w:rPr>
                      <w:t xml:space="preserve"> </w:t>
                    </w:r>
                    <w:r>
                      <w:rPr>
                        <w:color w:val="231F20"/>
                        <w:sz w:val="14"/>
                      </w:rPr>
                      <w:t>Humanos</w:t>
                    </w:r>
                  </w:p>
                </w:txbxContent>
              </v:textbox>
            </v:shape>
          </w:pict>
        </mc:Fallback>
      </mc:AlternateContent>
    </w:r>
    <w:r>
      <w:rPr>
        <w:noProof/>
        <w:lang w:eastAsia="es-ES"/>
      </w:rPr>
      <w:drawing>
        <wp:anchor distT="0" distB="0" distL="0" distR="0" simplePos="0" relativeHeight="251661312" behindDoc="1" locked="0" layoutInCell="1" allowOverlap="1" wp14:anchorId="01D3A4E9" wp14:editId="58388EE3">
          <wp:simplePos x="0" y="0"/>
          <wp:positionH relativeFrom="page">
            <wp:posOffset>6172200</wp:posOffset>
          </wp:positionH>
          <wp:positionV relativeFrom="margin">
            <wp:posOffset>8960174</wp:posOffset>
          </wp:positionV>
          <wp:extent cx="616585" cy="344170"/>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344170"/>
                  </a:xfrm>
                  <a:prstGeom prst="rect">
                    <a:avLst/>
                  </a:prstGeom>
                  <a:noFill/>
                </pic:spPr>
              </pic:pic>
            </a:graphicData>
          </a:graphic>
          <wp14:sizeRelH relativeFrom="page">
            <wp14:pctWidth>0</wp14:pctWidth>
          </wp14:sizeRelH>
          <wp14:sizeRelV relativeFrom="page">
            <wp14:pctHeight>0</wp14:pctHeight>
          </wp14:sizeRelV>
        </wp:anchor>
      </w:drawing>
    </w:r>
    <w:r w:rsidRPr="001578E1">
      <w:rPr>
        <w:noProof/>
        <w:color w:val="231F20"/>
        <w:sz w:val="18"/>
        <w:lang w:eastAsia="es-ES"/>
      </w:rPr>
      <mc:AlternateContent>
        <mc:Choice Requires="wps">
          <w:drawing>
            <wp:anchor distT="45720" distB="45720" distL="114300" distR="114300" simplePos="0" relativeHeight="251659264" behindDoc="0" locked="0" layoutInCell="1" allowOverlap="1" wp14:anchorId="4E7BD135" wp14:editId="5B5F619D">
              <wp:simplePos x="0" y="0"/>
              <wp:positionH relativeFrom="column">
                <wp:posOffset>-247650</wp:posOffset>
              </wp:positionH>
              <wp:positionV relativeFrom="paragraph">
                <wp:posOffset>-210820</wp:posOffset>
              </wp:positionV>
              <wp:extent cx="2512695" cy="278130"/>
              <wp:effectExtent l="0" t="0" r="1905"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9E2D2" w14:textId="77777777" w:rsidR="00150C04" w:rsidRPr="001578E1" w:rsidRDefault="00000000" w:rsidP="001707F3">
                          <w:pPr>
                            <w:adjustRightInd w:val="0"/>
                            <w:spacing w:after="0" w:line="288" w:lineRule="auto"/>
                            <w:textAlignment w:val="center"/>
                            <w:rPr>
                              <w:rFonts w:ascii="Gill Sans Light" w:eastAsia="Calibri" w:hAnsi="Gill Sans Light" w:cs="Gill Sans Light"/>
                              <w:color w:val="808080" w:themeColor="background1" w:themeShade="80"/>
                              <w:sz w:val="16"/>
                              <w:szCs w:val="16"/>
                            </w:rPr>
                          </w:pPr>
                          <w:r w:rsidRPr="001578E1">
                            <w:rPr>
                              <w:rFonts w:ascii="Gill Sans Light" w:eastAsia="Calibri" w:hAnsi="Gill Sans Light" w:cs="Gill Sans Light"/>
                              <w:color w:val="808080" w:themeColor="background1" w:themeShade="80"/>
                              <w:sz w:val="16"/>
                              <w:szCs w:val="16"/>
                            </w:rPr>
                            <w:t>José Abascal 44, planta 1ª, 28003 Madrid</w:t>
                          </w:r>
                        </w:p>
                        <w:p w14:paraId="36CF55F3" w14:textId="77777777" w:rsidR="00150C04" w:rsidRPr="001578E1" w:rsidRDefault="00000000" w:rsidP="001707F3">
                          <w:pPr>
                            <w:spacing w:before="20" w:after="0" w:line="254" w:lineRule="auto"/>
                            <w:ind w:left="20" w:right="10"/>
                            <w:rPr>
                              <w:rFonts w:ascii="Gill Sans Light" w:eastAsia="Calibri" w:hAnsi="Gill Sans Light" w:cs="Gill Sans Light"/>
                              <w:color w:val="808080" w:themeColor="background1" w:themeShade="80"/>
                              <w:sz w:val="16"/>
                              <w:szCs w:val="16"/>
                            </w:rPr>
                          </w:pPr>
                          <w:r w:rsidRPr="001578E1">
                            <w:rPr>
                              <w:rFonts w:ascii="Gill Sans Light" w:eastAsia="Calibri" w:hAnsi="Gill Sans Light" w:cs="Gill Sans Light"/>
                              <w:color w:val="808080" w:themeColor="background1" w:themeShade="80"/>
                              <w:sz w:val="16"/>
                              <w:szCs w:val="16"/>
                            </w:rPr>
                            <w:t xml:space="preserve">Tel.: + 34 620791069 </w:t>
                          </w:r>
                        </w:p>
                        <w:p w14:paraId="4B2125F1" w14:textId="77777777" w:rsidR="00150C04" w:rsidRPr="001578E1" w:rsidRDefault="00000000" w:rsidP="001707F3">
                          <w:pPr>
                            <w:spacing w:before="20" w:after="0" w:line="254" w:lineRule="auto"/>
                            <w:ind w:left="20" w:right="10"/>
                            <w:rPr>
                              <w:rFonts w:ascii="Gill Sans Light" w:hAnsi="Gill Sans Light" w:cs="Gill Sans Light"/>
                              <w:color w:val="808080" w:themeColor="background1" w:themeShade="80"/>
                              <w:sz w:val="16"/>
                              <w:szCs w:val="20"/>
                            </w:rPr>
                          </w:pPr>
                          <w:r w:rsidRPr="001578E1">
                            <w:rPr>
                              <w:rFonts w:ascii="Gill Sans Light" w:eastAsia="Calibri" w:hAnsi="Gill Sans Light" w:cs="Gill Sans Light"/>
                              <w:color w:val="808080" w:themeColor="background1" w:themeShade="80"/>
                              <w:sz w:val="16"/>
                              <w:szCs w:val="16"/>
                            </w:rPr>
                            <w:t>www.apdhe.org / info@apdhe.org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7BD135" id="_x0000_s1029" type="#_x0000_t202" style="position:absolute;margin-left:-19.5pt;margin-top:-16.6pt;width:197.85pt;height:21.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" stroked="f">
              <v:textbox style="mso-fit-shape-to-text:t">
                <w:txbxContent>
                  <w:p w14:paraId="1A89E2D2" w14:textId="77777777" w:rsidR="00150C04" w:rsidRPr="001578E1" w:rsidRDefault="00000000" w:rsidP="001707F3">
                    <w:pPr>
                      <w:adjustRightInd w:val="0"/>
                      <w:spacing w:after="0" w:line="288" w:lineRule="auto"/>
                      <w:textAlignment w:val="center"/>
                      <w:rPr>
                        <w:rFonts w:ascii="Gill Sans Light" w:eastAsia="Calibri" w:hAnsi="Gill Sans Light" w:cs="Gill Sans Light"/>
                        <w:color w:val="808080" w:themeColor="background1" w:themeShade="80"/>
                        <w:sz w:val="16"/>
                        <w:szCs w:val="16"/>
                      </w:rPr>
                    </w:pPr>
                    <w:r w:rsidRPr="001578E1">
                      <w:rPr>
                        <w:rFonts w:ascii="Gill Sans Light" w:eastAsia="Calibri" w:hAnsi="Gill Sans Light" w:cs="Gill Sans Light"/>
                        <w:color w:val="808080" w:themeColor="background1" w:themeShade="80"/>
                        <w:sz w:val="16"/>
                        <w:szCs w:val="16"/>
                      </w:rPr>
                      <w:t>José Abascal 44, planta 1ª, 28003 Madrid</w:t>
                    </w:r>
                  </w:p>
                  <w:p w14:paraId="36CF55F3" w14:textId="77777777" w:rsidR="00150C04" w:rsidRPr="001578E1" w:rsidRDefault="00000000" w:rsidP="001707F3">
                    <w:pPr>
                      <w:spacing w:before="20" w:after="0" w:line="254" w:lineRule="auto"/>
                      <w:ind w:left="20" w:right="10"/>
                      <w:rPr>
                        <w:rFonts w:ascii="Gill Sans Light" w:eastAsia="Calibri" w:hAnsi="Gill Sans Light" w:cs="Gill Sans Light"/>
                        <w:color w:val="808080" w:themeColor="background1" w:themeShade="80"/>
                        <w:sz w:val="16"/>
                        <w:szCs w:val="16"/>
                      </w:rPr>
                    </w:pPr>
                    <w:r w:rsidRPr="001578E1">
                      <w:rPr>
                        <w:rFonts w:ascii="Gill Sans Light" w:eastAsia="Calibri" w:hAnsi="Gill Sans Light" w:cs="Gill Sans Light"/>
                        <w:color w:val="808080" w:themeColor="background1" w:themeShade="80"/>
                        <w:sz w:val="16"/>
                        <w:szCs w:val="16"/>
                      </w:rPr>
                      <w:t xml:space="preserve">Tel.: + 34 620791069 </w:t>
                    </w:r>
                  </w:p>
                  <w:p w14:paraId="4B2125F1" w14:textId="77777777" w:rsidR="00150C04" w:rsidRPr="001578E1" w:rsidRDefault="00000000" w:rsidP="001707F3">
                    <w:pPr>
                      <w:spacing w:before="20" w:after="0" w:line="254" w:lineRule="auto"/>
                      <w:ind w:left="20" w:right="10"/>
                      <w:rPr>
                        <w:rFonts w:ascii="Gill Sans Light" w:hAnsi="Gill Sans Light" w:cs="Gill Sans Light"/>
                        <w:color w:val="808080" w:themeColor="background1" w:themeShade="80"/>
                        <w:sz w:val="16"/>
                        <w:szCs w:val="20"/>
                      </w:rPr>
                    </w:pPr>
                    <w:r w:rsidRPr="001578E1">
                      <w:rPr>
                        <w:rFonts w:ascii="Gill Sans Light" w:eastAsia="Calibri" w:hAnsi="Gill Sans Light" w:cs="Gill Sans Light"/>
                        <w:color w:val="808080" w:themeColor="background1" w:themeShade="80"/>
                        <w:sz w:val="16"/>
                        <w:szCs w:val="16"/>
                      </w:rPr>
                      <w:t>www.apdhe.org / info@apdhe.org</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65DF" w14:textId="77777777" w:rsidR="00A309FA" w:rsidRDefault="00A309FA">
      <w:pPr>
        <w:spacing w:after="0" w:line="240" w:lineRule="auto"/>
      </w:pPr>
      <w:r>
        <w:separator/>
      </w:r>
    </w:p>
  </w:footnote>
  <w:footnote w:type="continuationSeparator" w:id="0">
    <w:p w14:paraId="3D0AE7AE" w14:textId="77777777" w:rsidR="00A309FA" w:rsidRDefault="00A30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643A" w14:textId="77777777" w:rsidR="00150C04" w:rsidRDefault="00000000">
    <w:pPr>
      <w:pStyle w:val="Encabezado"/>
    </w:pPr>
    <w:r>
      <w:rPr>
        <w:i/>
        <w:iCs/>
        <w:noProof/>
        <w:color w:val="808080" w:themeColor="text1" w:themeTint="7F"/>
      </w:rPr>
      <w:drawing>
        <wp:anchor distT="0" distB="0" distL="114300" distR="114300" simplePos="0" relativeHeight="251662336" behindDoc="0" locked="0" layoutInCell="1" allowOverlap="1" wp14:anchorId="6AB249DF" wp14:editId="54C8E905">
          <wp:simplePos x="0" y="0"/>
          <wp:positionH relativeFrom="margin">
            <wp:align>center</wp:align>
          </wp:positionH>
          <wp:positionV relativeFrom="paragraph">
            <wp:posOffset>-372110</wp:posOffset>
          </wp:positionV>
          <wp:extent cx="1400175" cy="809625"/>
          <wp:effectExtent l="0" t="0" r="9525" b="9525"/>
          <wp:wrapThrough wrapText="bothSides">
            <wp:wrapPolygon edited="0">
              <wp:start x="0" y="0"/>
              <wp:lineTo x="0" y="21346"/>
              <wp:lineTo x="21453" y="21346"/>
              <wp:lineTo x="21453" y="0"/>
              <wp:lineTo x="0" y="0"/>
            </wp:wrapPolygon>
          </wp:wrapThrough>
          <wp:docPr id="1613780656" name="Imagen 161378065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9270" t="31529" r="39673" b="34949"/>
                  <a:stretch/>
                </pic:blipFill>
                <pic:spPr bwMode="auto">
                  <a:xfrm>
                    <a:off x="0" y="0"/>
                    <a:ext cx="1400175"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AC9"/>
    <w:multiLevelType w:val="multilevel"/>
    <w:tmpl w:val="866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E5102"/>
    <w:multiLevelType w:val="multilevel"/>
    <w:tmpl w:val="FA58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826CF"/>
    <w:multiLevelType w:val="multilevel"/>
    <w:tmpl w:val="F6DE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A3E32"/>
    <w:multiLevelType w:val="multilevel"/>
    <w:tmpl w:val="733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146E7"/>
    <w:multiLevelType w:val="multilevel"/>
    <w:tmpl w:val="9AD0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66F76"/>
    <w:multiLevelType w:val="multilevel"/>
    <w:tmpl w:val="A6C8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2554B"/>
    <w:multiLevelType w:val="multilevel"/>
    <w:tmpl w:val="DDE2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237E6"/>
    <w:multiLevelType w:val="multilevel"/>
    <w:tmpl w:val="421E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3141C"/>
    <w:multiLevelType w:val="multilevel"/>
    <w:tmpl w:val="3698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D39A8"/>
    <w:multiLevelType w:val="hybridMultilevel"/>
    <w:tmpl w:val="8CA661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17F714D"/>
    <w:multiLevelType w:val="multilevel"/>
    <w:tmpl w:val="D9E6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F16E4"/>
    <w:multiLevelType w:val="multilevel"/>
    <w:tmpl w:val="DDC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B2C34"/>
    <w:multiLevelType w:val="multilevel"/>
    <w:tmpl w:val="26DE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04549"/>
    <w:multiLevelType w:val="multilevel"/>
    <w:tmpl w:val="6614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D1999"/>
    <w:multiLevelType w:val="multilevel"/>
    <w:tmpl w:val="69F2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8A56DB"/>
    <w:multiLevelType w:val="multilevel"/>
    <w:tmpl w:val="B52A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E1F92"/>
    <w:multiLevelType w:val="multilevel"/>
    <w:tmpl w:val="A09A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476CB"/>
    <w:multiLevelType w:val="hybridMultilevel"/>
    <w:tmpl w:val="48CAD4E4"/>
    <w:lvl w:ilvl="0" w:tplc="040A0001">
      <w:start w:val="1"/>
      <w:numFmt w:val="bullet"/>
      <w:lvlText w:val=""/>
      <w:lvlJc w:val="left"/>
      <w:pPr>
        <w:ind w:left="1423" w:hanging="360"/>
      </w:pPr>
      <w:rPr>
        <w:rFonts w:ascii="Symbol" w:hAnsi="Symbol" w:hint="default"/>
      </w:rPr>
    </w:lvl>
    <w:lvl w:ilvl="1" w:tplc="040A0003" w:tentative="1">
      <w:start w:val="1"/>
      <w:numFmt w:val="bullet"/>
      <w:lvlText w:val="o"/>
      <w:lvlJc w:val="left"/>
      <w:pPr>
        <w:ind w:left="2143" w:hanging="360"/>
      </w:pPr>
      <w:rPr>
        <w:rFonts w:ascii="Courier New" w:hAnsi="Courier New" w:cs="Courier New" w:hint="default"/>
      </w:rPr>
    </w:lvl>
    <w:lvl w:ilvl="2" w:tplc="040A0005" w:tentative="1">
      <w:start w:val="1"/>
      <w:numFmt w:val="bullet"/>
      <w:lvlText w:val=""/>
      <w:lvlJc w:val="left"/>
      <w:pPr>
        <w:ind w:left="2863" w:hanging="360"/>
      </w:pPr>
      <w:rPr>
        <w:rFonts w:ascii="Wingdings" w:hAnsi="Wingdings" w:hint="default"/>
      </w:rPr>
    </w:lvl>
    <w:lvl w:ilvl="3" w:tplc="040A0001" w:tentative="1">
      <w:start w:val="1"/>
      <w:numFmt w:val="bullet"/>
      <w:lvlText w:val=""/>
      <w:lvlJc w:val="left"/>
      <w:pPr>
        <w:ind w:left="3583" w:hanging="360"/>
      </w:pPr>
      <w:rPr>
        <w:rFonts w:ascii="Symbol" w:hAnsi="Symbol" w:hint="default"/>
      </w:rPr>
    </w:lvl>
    <w:lvl w:ilvl="4" w:tplc="040A0003" w:tentative="1">
      <w:start w:val="1"/>
      <w:numFmt w:val="bullet"/>
      <w:lvlText w:val="o"/>
      <w:lvlJc w:val="left"/>
      <w:pPr>
        <w:ind w:left="4303" w:hanging="360"/>
      </w:pPr>
      <w:rPr>
        <w:rFonts w:ascii="Courier New" w:hAnsi="Courier New" w:cs="Courier New" w:hint="default"/>
      </w:rPr>
    </w:lvl>
    <w:lvl w:ilvl="5" w:tplc="040A0005" w:tentative="1">
      <w:start w:val="1"/>
      <w:numFmt w:val="bullet"/>
      <w:lvlText w:val=""/>
      <w:lvlJc w:val="left"/>
      <w:pPr>
        <w:ind w:left="5023" w:hanging="360"/>
      </w:pPr>
      <w:rPr>
        <w:rFonts w:ascii="Wingdings" w:hAnsi="Wingdings" w:hint="default"/>
      </w:rPr>
    </w:lvl>
    <w:lvl w:ilvl="6" w:tplc="040A0001" w:tentative="1">
      <w:start w:val="1"/>
      <w:numFmt w:val="bullet"/>
      <w:lvlText w:val=""/>
      <w:lvlJc w:val="left"/>
      <w:pPr>
        <w:ind w:left="5743" w:hanging="360"/>
      </w:pPr>
      <w:rPr>
        <w:rFonts w:ascii="Symbol" w:hAnsi="Symbol" w:hint="default"/>
      </w:rPr>
    </w:lvl>
    <w:lvl w:ilvl="7" w:tplc="040A0003" w:tentative="1">
      <w:start w:val="1"/>
      <w:numFmt w:val="bullet"/>
      <w:lvlText w:val="o"/>
      <w:lvlJc w:val="left"/>
      <w:pPr>
        <w:ind w:left="6463" w:hanging="360"/>
      </w:pPr>
      <w:rPr>
        <w:rFonts w:ascii="Courier New" w:hAnsi="Courier New" w:cs="Courier New" w:hint="default"/>
      </w:rPr>
    </w:lvl>
    <w:lvl w:ilvl="8" w:tplc="040A0005" w:tentative="1">
      <w:start w:val="1"/>
      <w:numFmt w:val="bullet"/>
      <w:lvlText w:val=""/>
      <w:lvlJc w:val="left"/>
      <w:pPr>
        <w:ind w:left="7183" w:hanging="360"/>
      </w:pPr>
      <w:rPr>
        <w:rFonts w:ascii="Wingdings" w:hAnsi="Wingdings" w:hint="default"/>
      </w:rPr>
    </w:lvl>
  </w:abstractNum>
  <w:abstractNum w:abstractNumId="18" w15:restartNumberingAfterBreak="0">
    <w:nsid w:val="649A2D16"/>
    <w:multiLevelType w:val="multilevel"/>
    <w:tmpl w:val="A6F8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967785"/>
    <w:multiLevelType w:val="multilevel"/>
    <w:tmpl w:val="FD36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663582">
    <w:abstractNumId w:val="17"/>
  </w:num>
  <w:num w:numId="2" w16cid:durableId="1958676781">
    <w:abstractNumId w:val="9"/>
  </w:num>
  <w:num w:numId="3" w16cid:durableId="2133670032">
    <w:abstractNumId w:val="12"/>
  </w:num>
  <w:num w:numId="4" w16cid:durableId="1482191976">
    <w:abstractNumId w:val="7"/>
  </w:num>
  <w:num w:numId="5" w16cid:durableId="2141414811">
    <w:abstractNumId w:val="3"/>
  </w:num>
  <w:num w:numId="6" w16cid:durableId="1301377579">
    <w:abstractNumId w:val="8"/>
  </w:num>
  <w:num w:numId="7" w16cid:durableId="1005671698">
    <w:abstractNumId w:val="4"/>
  </w:num>
  <w:num w:numId="8" w16cid:durableId="1604726487">
    <w:abstractNumId w:val="18"/>
  </w:num>
  <w:num w:numId="9" w16cid:durableId="1207719661">
    <w:abstractNumId w:val="5"/>
  </w:num>
  <w:num w:numId="10" w16cid:durableId="760108209">
    <w:abstractNumId w:val="19"/>
  </w:num>
  <w:num w:numId="11" w16cid:durableId="1727679827">
    <w:abstractNumId w:val="11"/>
  </w:num>
  <w:num w:numId="12" w16cid:durableId="1422070768">
    <w:abstractNumId w:val="6"/>
  </w:num>
  <w:num w:numId="13" w16cid:durableId="1169561020">
    <w:abstractNumId w:val="0"/>
  </w:num>
  <w:num w:numId="14" w16cid:durableId="1554079362">
    <w:abstractNumId w:val="2"/>
  </w:num>
  <w:num w:numId="15" w16cid:durableId="2062316966">
    <w:abstractNumId w:val="16"/>
  </w:num>
  <w:num w:numId="16" w16cid:durableId="1089543328">
    <w:abstractNumId w:val="10"/>
  </w:num>
  <w:num w:numId="17" w16cid:durableId="50082992">
    <w:abstractNumId w:val="15"/>
  </w:num>
  <w:num w:numId="18" w16cid:durableId="1278411485">
    <w:abstractNumId w:val="1"/>
  </w:num>
  <w:num w:numId="19" w16cid:durableId="167335002">
    <w:abstractNumId w:val="14"/>
  </w:num>
  <w:num w:numId="20" w16cid:durableId="12934405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42"/>
    <w:rsid w:val="000570CA"/>
    <w:rsid w:val="00061E55"/>
    <w:rsid w:val="000C1BEF"/>
    <w:rsid w:val="000C241B"/>
    <w:rsid w:val="000D108B"/>
    <w:rsid w:val="000D4BC4"/>
    <w:rsid w:val="000E2127"/>
    <w:rsid w:val="000F5D0B"/>
    <w:rsid w:val="000F678F"/>
    <w:rsid w:val="00134BF4"/>
    <w:rsid w:val="00150C04"/>
    <w:rsid w:val="00170D09"/>
    <w:rsid w:val="001B7A3F"/>
    <w:rsid w:val="00320ACF"/>
    <w:rsid w:val="00325A01"/>
    <w:rsid w:val="003358DE"/>
    <w:rsid w:val="00362430"/>
    <w:rsid w:val="00362673"/>
    <w:rsid w:val="003859A8"/>
    <w:rsid w:val="00393B9B"/>
    <w:rsid w:val="003A4D3F"/>
    <w:rsid w:val="00433328"/>
    <w:rsid w:val="00443FF1"/>
    <w:rsid w:val="004544AB"/>
    <w:rsid w:val="004A7C96"/>
    <w:rsid w:val="004D249F"/>
    <w:rsid w:val="00504A84"/>
    <w:rsid w:val="00567C6F"/>
    <w:rsid w:val="005B14A9"/>
    <w:rsid w:val="005C76B6"/>
    <w:rsid w:val="00621510"/>
    <w:rsid w:val="00656042"/>
    <w:rsid w:val="00657DAD"/>
    <w:rsid w:val="00674806"/>
    <w:rsid w:val="0069663B"/>
    <w:rsid w:val="006F5D26"/>
    <w:rsid w:val="007408E1"/>
    <w:rsid w:val="00766434"/>
    <w:rsid w:val="007C094C"/>
    <w:rsid w:val="008B33A7"/>
    <w:rsid w:val="00901C9E"/>
    <w:rsid w:val="00994A19"/>
    <w:rsid w:val="00A309FA"/>
    <w:rsid w:val="00AA4054"/>
    <w:rsid w:val="00B22BF6"/>
    <w:rsid w:val="00B2635A"/>
    <w:rsid w:val="00B429F4"/>
    <w:rsid w:val="00B56C4F"/>
    <w:rsid w:val="00B81A2B"/>
    <w:rsid w:val="00BB251B"/>
    <w:rsid w:val="00C06C3E"/>
    <w:rsid w:val="00C91EC7"/>
    <w:rsid w:val="00D00A87"/>
    <w:rsid w:val="00D236D7"/>
    <w:rsid w:val="00D509C3"/>
    <w:rsid w:val="00DE5AA2"/>
    <w:rsid w:val="00ED6EC7"/>
    <w:rsid w:val="00F213FA"/>
    <w:rsid w:val="00F26809"/>
    <w:rsid w:val="00F40EE1"/>
    <w:rsid w:val="00F46731"/>
    <w:rsid w:val="00F67964"/>
    <w:rsid w:val="00FB79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5B72"/>
  <w15:chartTrackingRefBased/>
  <w15:docId w15:val="{90D758E2-13C3-440C-8E75-032FD2EC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042"/>
  </w:style>
  <w:style w:type="paragraph" w:styleId="Ttulo1">
    <w:name w:val="heading 1"/>
    <w:basedOn w:val="Normal"/>
    <w:link w:val="Ttulo1Car"/>
    <w:uiPriority w:val="9"/>
    <w:qFormat/>
    <w:rsid w:val="000D4B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_tradnl"/>
      <w14:ligatures w14:val="none"/>
    </w:rPr>
  </w:style>
  <w:style w:type="paragraph" w:styleId="Ttulo2">
    <w:name w:val="heading 2"/>
    <w:basedOn w:val="Normal"/>
    <w:next w:val="Normal"/>
    <w:link w:val="Ttulo2Car"/>
    <w:uiPriority w:val="9"/>
    <w:semiHidden/>
    <w:unhideWhenUsed/>
    <w:qFormat/>
    <w:rsid w:val="00F268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268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60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6042"/>
  </w:style>
  <w:style w:type="paragraph" w:styleId="Piedepgina">
    <w:name w:val="footer"/>
    <w:basedOn w:val="Normal"/>
    <w:link w:val="PiedepginaCar"/>
    <w:uiPriority w:val="99"/>
    <w:unhideWhenUsed/>
    <w:rsid w:val="006560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6042"/>
  </w:style>
  <w:style w:type="paragraph" w:styleId="NormalWeb">
    <w:name w:val="Normal (Web)"/>
    <w:basedOn w:val="Normal"/>
    <w:uiPriority w:val="99"/>
    <w:unhideWhenUsed/>
    <w:rsid w:val="00C06C3E"/>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styleId="Fuerte">
    <w:name w:val="Strong"/>
    <w:basedOn w:val="Fuentedeprrafopredeter"/>
    <w:uiPriority w:val="22"/>
    <w:qFormat/>
    <w:rsid w:val="00C06C3E"/>
    <w:rPr>
      <w:b/>
      <w:bCs/>
    </w:rPr>
  </w:style>
  <w:style w:type="paragraph" w:customStyle="1" w:styleId="Default">
    <w:name w:val="Default"/>
    <w:rsid w:val="00393B9B"/>
    <w:pPr>
      <w:autoSpaceDE w:val="0"/>
      <w:autoSpaceDN w:val="0"/>
      <w:adjustRightInd w:val="0"/>
      <w:spacing w:after="0" w:line="240" w:lineRule="auto"/>
    </w:pPr>
    <w:rPr>
      <w:rFonts w:ascii="Calibri Light" w:hAnsi="Calibri Light" w:cs="Calibri Light"/>
      <w:color w:val="000000"/>
      <w:kern w:val="0"/>
      <w:sz w:val="24"/>
      <w:szCs w:val="24"/>
      <w:lang w:val="es-ES_tradnl"/>
    </w:rPr>
  </w:style>
  <w:style w:type="paragraph" w:styleId="Prrafodelista">
    <w:name w:val="List Paragraph"/>
    <w:basedOn w:val="Normal"/>
    <w:uiPriority w:val="34"/>
    <w:qFormat/>
    <w:rsid w:val="00B56C4F"/>
    <w:pPr>
      <w:ind w:left="720"/>
      <w:contextualSpacing/>
    </w:pPr>
  </w:style>
  <w:style w:type="character" w:customStyle="1" w:styleId="Ttulo1Car">
    <w:name w:val="Título 1 Car"/>
    <w:basedOn w:val="Fuentedeprrafopredeter"/>
    <w:link w:val="Ttulo1"/>
    <w:uiPriority w:val="9"/>
    <w:rsid w:val="000D4BC4"/>
    <w:rPr>
      <w:rFonts w:ascii="Times New Roman" w:eastAsia="Times New Roman" w:hAnsi="Times New Roman" w:cs="Times New Roman"/>
      <w:b/>
      <w:bCs/>
      <w:kern w:val="36"/>
      <w:sz w:val="48"/>
      <w:szCs w:val="48"/>
      <w:lang w:eastAsia="es-ES_tradnl"/>
      <w14:ligatures w14:val="none"/>
    </w:rPr>
  </w:style>
  <w:style w:type="paragraph" w:customStyle="1" w:styleId="position-title">
    <w:name w:val="position-title"/>
    <w:basedOn w:val="Normal"/>
    <w:rsid w:val="000D4BC4"/>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customStyle="1" w:styleId="screen-reader-text">
    <w:name w:val="screen-reader-text"/>
    <w:basedOn w:val="Fuentedeprrafopredeter"/>
    <w:rsid w:val="000D4BC4"/>
  </w:style>
  <w:style w:type="paragraph" w:styleId="Sangradetextonormal">
    <w:name w:val="Body Text Indent"/>
    <w:basedOn w:val="Normal"/>
    <w:link w:val="SangradetextonormalCar"/>
    <w:uiPriority w:val="99"/>
    <w:unhideWhenUsed/>
    <w:rsid w:val="00F40EE1"/>
    <w:pPr>
      <w:spacing w:after="0" w:line="240" w:lineRule="auto"/>
    </w:pPr>
    <w:rPr>
      <w:rFonts w:ascii="Arial" w:eastAsia="Times New Roman" w:hAnsi="Arial" w:cs="Times New Roman"/>
      <w:kern w:val="0"/>
      <w:sz w:val="20"/>
      <w:szCs w:val="20"/>
      <w:lang w:val="es-ES_tradnl" w:eastAsia="it-IT"/>
      <w14:ligatures w14:val="none"/>
    </w:rPr>
  </w:style>
  <w:style w:type="character" w:customStyle="1" w:styleId="SangradetextonormalCar">
    <w:name w:val="Sangría de texto normal Car"/>
    <w:basedOn w:val="Fuentedeprrafopredeter"/>
    <w:link w:val="Sangradetextonormal"/>
    <w:uiPriority w:val="99"/>
    <w:rsid w:val="00F40EE1"/>
    <w:rPr>
      <w:rFonts w:ascii="Arial" w:eastAsia="Times New Roman" w:hAnsi="Arial" w:cs="Times New Roman"/>
      <w:kern w:val="0"/>
      <w:sz w:val="20"/>
      <w:szCs w:val="20"/>
      <w:lang w:val="es-ES_tradnl" w:eastAsia="it-IT"/>
      <w14:ligatures w14:val="none"/>
    </w:rPr>
  </w:style>
  <w:style w:type="character" w:customStyle="1" w:styleId="Ttulo2Car">
    <w:name w:val="Título 2 Car"/>
    <w:basedOn w:val="Fuentedeprrafopredeter"/>
    <w:link w:val="Ttulo2"/>
    <w:uiPriority w:val="9"/>
    <w:semiHidden/>
    <w:rsid w:val="00F2680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F2680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92641">
      <w:bodyDiv w:val="1"/>
      <w:marLeft w:val="0"/>
      <w:marRight w:val="0"/>
      <w:marTop w:val="0"/>
      <w:marBottom w:val="0"/>
      <w:divBdr>
        <w:top w:val="none" w:sz="0" w:space="0" w:color="auto"/>
        <w:left w:val="none" w:sz="0" w:space="0" w:color="auto"/>
        <w:bottom w:val="none" w:sz="0" w:space="0" w:color="auto"/>
        <w:right w:val="none" w:sz="0" w:space="0" w:color="auto"/>
      </w:divBdr>
    </w:div>
    <w:div w:id="646785710">
      <w:bodyDiv w:val="1"/>
      <w:marLeft w:val="0"/>
      <w:marRight w:val="0"/>
      <w:marTop w:val="0"/>
      <w:marBottom w:val="0"/>
      <w:divBdr>
        <w:top w:val="none" w:sz="0" w:space="0" w:color="auto"/>
        <w:left w:val="none" w:sz="0" w:space="0" w:color="auto"/>
        <w:bottom w:val="none" w:sz="0" w:space="0" w:color="auto"/>
        <w:right w:val="none" w:sz="0" w:space="0" w:color="auto"/>
      </w:divBdr>
    </w:div>
    <w:div w:id="154672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1799</Words>
  <Characters>10402</Characters>
  <Application>Microsoft Office Word</Application>
  <DocSecurity>0</DocSecurity>
  <Lines>247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Ferro Manjón</dc:creator>
  <cp:keywords/>
  <dc:description/>
  <cp:lastModifiedBy>Patricia Fernández Vicens</cp:lastModifiedBy>
  <cp:revision>3</cp:revision>
  <cp:lastPrinted>2024-07-31T18:14:00Z</cp:lastPrinted>
  <dcterms:created xsi:type="dcterms:W3CDTF">2026-02-22T21:45:00Z</dcterms:created>
  <dcterms:modified xsi:type="dcterms:W3CDTF">2026-02-24T11:30:00Z</dcterms:modified>
</cp:coreProperties>
</file>